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445321-2023-00511</w:t>
      </w:r>
    </w:p>
    <w:p>
      <w:pPr>
        <w:jc w:val="center"/>
      </w:pPr>
      <w:r>
        <w:rPr>
          <w:b/>
          <w:sz w:val="24"/>
        </w:rPr>
        <w:t>采购项目编号：</w:t>
      </w:r>
      <w:r>
        <w:rPr>
          <w:b/>
          <w:sz w:val="24"/>
        </w:rPr>
        <w:t>YFZC23GC0060</w:t>
      </w:r>
    </w:p>
    <w:p>
      <w:pPr>
        <w:jc w:val="center"/>
      </w:pPr>
      <w:r>
        <w:rPr>
          <w:b/>
          <w:sz w:val="24"/>
        </w:rPr>
        <w:t>项目名称：</w:t>
      </w:r>
      <w:r>
        <w:rPr>
          <w:b/>
          <w:sz w:val="24"/>
        </w:rPr>
        <w:t>云浮220千伏良洞（新兴）输变电站场地平整工程</w:t>
      </w:r>
    </w:p>
    <w:p>
      <w:pPr>
        <w:jc w:val="center"/>
      </w:pPr>
      <w:r>
        <w:rPr>
          <w:b/>
          <w:sz w:val="24"/>
        </w:rPr>
        <w:t>采购人：</w:t>
      </w:r>
      <w:r>
        <w:rPr>
          <w:b/>
          <w:sz w:val="24"/>
        </w:rPr>
        <w:t>新兴县六祖镇人民政府（本级）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新兴县六祖镇人民政府（本级）</w:t>
      </w:r>
      <w:r>
        <w:rPr/>
        <w:t>的委托，采用</w:t>
      </w:r>
      <w:r>
        <w:rPr/>
        <w:t>竞争性磋商</w:t>
      </w:r>
      <w:r>
        <w:rPr/>
        <w:t>方式组织采购</w:t>
      </w:r>
      <w:r>
        <w:rPr/>
        <w:t>云浮220千伏良洞（新兴）输变电站场地平整工程</w:t>
      </w:r>
      <w:r>
        <w:rPr/>
        <w:t>。欢迎符合资格条件的供应商参加。</w:t>
      </w:r>
    </w:p>
    <w:p>
      <w:r>
        <w:rPr>
          <w:b/>
          <w:sz w:val="28"/>
        </w:rPr>
        <w:t>一.项目概述</w:t>
      </w:r>
    </w:p>
    <w:p>
      <w:r>
        <w:rPr>
          <w:b/>
          <w:sz w:val="24"/>
        </w:rPr>
        <w:t>1.名称与编号</w:t>
      </w:r>
    </w:p>
    <w:p>
      <w:pPr>
        <w:ind w:firstLine="480"/>
      </w:pPr>
      <w:r>
        <w:rPr/>
        <w:t>采购项目名称：</w:t>
      </w:r>
      <w:r>
        <w:rPr/>
        <w:t>云浮220千伏良洞（新兴）输变电站场地平整工程</w:t>
      </w:r>
    </w:p>
    <w:p>
      <w:pPr>
        <w:ind w:firstLine="480"/>
      </w:pPr>
      <w:r>
        <w:rPr/>
        <w:t>采购计划编号：</w:t>
      </w:r>
      <w:r>
        <w:rPr/>
        <w:t>445321-2023-00511</w:t>
      </w:r>
    </w:p>
    <w:p>
      <w:pPr>
        <w:ind w:firstLine="480"/>
      </w:pPr>
      <w:r>
        <w:rPr/>
        <w:t>采购项目编号：</w:t>
      </w:r>
      <w:r>
        <w:rPr/>
        <w:t>YFZC23GC0060</w:t>
      </w:r>
    </w:p>
    <w:p>
      <w:pPr>
        <w:ind w:firstLine="480"/>
      </w:pPr>
      <w:r>
        <w:rPr/>
        <w:t>采购方式：</w:t>
      </w:r>
      <w:r>
        <w:rPr/>
        <w:t>竞争性磋商</w:t>
      </w:r>
    </w:p>
    <w:p>
      <w:pPr>
        <w:ind w:firstLine="480"/>
      </w:pPr>
      <w:r>
        <w:rPr/>
        <w:t>预算金额：</w:t>
      </w:r>
      <w:r>
        <w:rPr/>
        <w:t>2,009,410.84</w:t>
      </w:r>
      <w:r>
        <w:rPr/>
        <w:t>元</w:t>
      </w:r>
    </w:p>
    <w:p>
      <w:r>
        <w:rPr>
          <w:b/>
          <w:sz w:val="24"/>
        </w:rPr>
        <w:t>2.项目内容及需求情况（采购项目技术规格、参数及要求）</w:t>
      </w:r>
    </w:p>
    <w:p>
      <w:pPr>
        <w:ind w:firstLine="480"/>
      </w:pPr>
    </w:p>
    <w:p/>
    <w:p>
      <w:r>
        <w:rPr/>
        <w:t>采购包1(云浮220千伏良洞（新兴）输变电站场地平整工程):</w:t>
      </w:r>
    </w:p>
    <w:p>
      <w:r>
        <w:rPr/>
        <w:t>采购包预算金额：2,009,410.84元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土石方工程</w:t>
            </w:r>
          </w:p>
        </w:tc>
        <w:tc>
          <w:tcPr>
            <w:tcW w:type="dxa" w:w="2052"/>
          </w:tcPr>
          <w:p>
            <w:r>
              <w:rPr/>
              <w:t>云浮220千伏良洞（新兴）输变电站场地平整工程</w:t>
            </w:r>
          </w:p>
        </w:tc>
        <w:tc>
          <w:tcPr>
            <w:tcW w:type="dxa" w:w="977"/>
          </w:tcPr>
          <w:p>
            <w:r>
              <w:rPr/>
              <w:t>1(项)</w:t>
            </w:r>
          </w:p>
        </w:tc>
        <w:tc>
          <w:tcPr>
            <w:tcW w:type="dxa" w:w="977"/>
          </w:tcPr>
          <w:p>
            <w:r>
              <w:rPr/>
              <w:t>详见第二章</w:t>
            </w:r>
          </w:p>
        </w:tc>
        <w:tc>
          <w:tcPr>
            <w:tcW w:type="dxa" w:w="977"/>
          </w:tcPr>
          <w:p>
            <w:r>
              <w:rPr/>
              <w:t>2,009,410.84</w:t>
            </w:r>
          </w:p>
        </w:tc>
        <w:tc>
          <w:tcPr>
            <w:tcW w:type="dxa" w:w="977"/>
          </w:tcPr>
          <w:p>
            <w:r>
              <w:rPr/>
              <w:t>否</w:t>
            </w:r>
          </w:p>
        </w:tc>
      </w:tr>
    </w:tbl>
    <w:p/>
    <w:p>
      <w:r>
        <w:rPr/>
        <w:t>本采购包不接受联合体响应</w:t>
      </w:r>
    </w:p>
    <w:p/>
    <w:p>
      <w:r>
        <w:rPr/>
        <w:t>合同履行期限：自合同签订生效之日起60天内完成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采购包1（云浮220千伏良洞（新兴）输变电站场地平整工程）：</w:t>
      </w:r>
      <w:r>
        <w:rPr/>
        <w:t>参与的供应商工程的施工单位全部为符合政策要求的中小企业。</w:t>
      </w:r>
    </w:p>
    <w:p/>
    <w:p>
      <w:r>
        <w:rPr>
          <w:b/>
          <w:sz w:val="24"/>
        </w:rPr>
        <w:t>3.本项目特定的资格要求：</w:t>
      </w:r>
    </w:p>
    <w:p>
      <w:pPr>
        <w:ind w:firstLine="480"/>
      </w:pPr>
    </w:p>
    <w:p/>
    <w:p>
      <w:r>
        <w:rPr/>
        <w:t>采购包1（云浮220千伏良洞（新兴）输变电站场地平整工程）：</w:t>
      </w:r>
    </w:p>
    <w:p/>
    <w:p>
      <w:r>
        <w:rPr/>
        <w:t>1)（1）供应商须具备法律、行政法规规定的其他条件：在响应文件中提供声明函。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新兴县六祖镇人民政府（本级）</w:t>
      </w:r>
    </w:p>
    <w:p>
      <w:pPr>
        <w:ind w:firstLine="480"/>
      </w:pPr>
      <w:r>
        <w:rPr/>
        <w:t>地址：</w:t>
      </w:r>
      <w:r>
        <w:rPr/>
        <w:t>广东省云浮市新兴县六祖镇圩镇佛光路18号</w:t>
      </w:r>
    </w:p>
    <w:p>
      <w:pPr>
        <w:ind w:firstLine="480"/>
      </w:pPr>
      <w:r>
        <w:rPr/>
        <w:t>联系方式：</w:t>
      </w:r>
      <w:r>
        <w:rPr/>
        <w:t>刘先生 0766-2666775</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）项目背景：为加快推进云浮</w:t>
      </w:r>
      <w:r>
        <w:rPr>
          <w:sz w:val="21"/>
        </w:rPr>
        <w:t>220千伏良洞（新兴）输变电站建设，计划实施</w:t>
      </w:r>
      <w:r>
        <w:rPr>
          <w:sz w:val="21"/>
        </w:rPr>
        <w:t>云浮</w:t>
      </w:r>
      <w:r>
        <w:rPr>
          <w:sz w:val="21"/>
        </w:rPr>
        <w:t>220千伏良洞（新兴）输变电站场地平整工程</w:t>
      </w:r>
      <w:r>
        <w:rPr>
          <w:sz w:val="21"/>
        </w:rPr>
        <w:t>。</w:t>
      </w:r>
    </w:p>
    <w:p>
      <w:r>
        <w:rPr>
          <w:sz w:val="21"/>
        </w:rPr>
        <w:t>（</w:t>
      </w:r>
      <w:r>
        <w:rPr>
          <w:sz w:val="21"/>
        </w:rPr>
        <w:t>2</w:t>
      </w:r>
      <w:r>
        <w:rPr>
          <w:sz w:val="21"/>
        </w:rPr>
        <w:t>）</w:t>
      </w:r>
      <w:r>
        <w:rPr>
          <w:sz w:val="21"/>
        </w:rPr>
        <w:t>项目主要建设内容及规模</w:t>
      </w:r>
      <w:r>
        <w:rPr>
          <w:sz w:val="21"/>
        </w:rPr>
        <w:t>：</w:t>
      </w:r>
      <w:r>
        <w:rPr>
          <w:sz w:val="21"/>
        </w:rPr>
        <w:t>平整地块面积</w:t>
      </w:r>
      <w:r>
        <w:rPr>
          <w:sz w:val="21"/>
        </w:rPr>
        <w:t>56000平方米，开挖土方262000立方米，铲运机铲运土方至低洼处约23.2万立方米，外运3万立方米</w:t>
      </w:r>
      <w:r>
        <w:rPr>
          <w:sz w:val="21"/>
        </w:rPr>
        <w:t>。</w:t>
      </w:r>
    </w:p>
    <w:p>
      <w:r>
        <w:rPr>
          <w:sz w:val="21"/>
        </w:rPr>
        <w:t>（</w:t>
      </w:r>
      <w:r>
        <w:rPr>
          <w:sz w:val="21"/>
        </w:rPr>
        <w:t>3</w:t>
      </w:r>
      <w:r>
        <w:rPr>
          <w:sz w:val="21"/>
        </w:rPr>
        <w:t>）</w:t>
      </w:r>
      <w:r>
        <w:rPr>
          <w:sz w:val="21"/>
        </w:rPr>
        <w:t>项目地点：新兴县</w:t>
      </w:r>
      <w:r>
        <w:rPr>
          <w:sz w:val="21"/>
        </w:rPr>
        <w:t>六祖镇</w:t>
      </w:r>
      <w:r>
        <w:rPr>
          <w:sz w:val="21"/>
        </w:rPr>
        <w:t>。</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543"/>
        <w:gridCol w:w="2454"/>
        <w:gridCol w:w="3346"/>
        <w:gridCol w:w="929"/>
        <w:gridCol w:w="1030"/>
      </w:tblGrid>
      <w:tr>
        <w:tc>
          <w:tcPr>
            <w:tcW w:type="dxa" w:w="543"/>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45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346"/>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9"/>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1030"/>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4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454"/>
            <w:tcBorders>
              <w:top w:val="none" w:color="000000" w:sz="4"/>
              <w:left w:val="none" w:color="000000" w:sz="4"/>
              <w:bottom w:val="single" w:color="000000" w:sz="4"/>
              <w:right w:val="single" w:color="000000" w:sz="4"/>
            </w:tcBorders>
            <w:vAlign w:val="top"/>
          </w:tcPr>
          <w:p>
            <w:pPr>
              <w:jc w:val="left"/>
            </w:pPr>
            <w:r>
              <w:rPr>
                <w:color w:val="000000"/>
                <w:sz w:val="21"/>
              </w:rPr>
              <w:t>挖一般土方（铲运机铲运土方</w:t>
            </w:r>
            <w:r>
              <w:rPr>
                <w:color w:val="000000"/>
                <w:sz w:val="21"/>
              </w:rPr>
              <w:t>运距</w:t>
            </w:r>
            <w:r>
              <w:rPr>
                <w:color w:val="000000"/>
                <w:sz w:val="21"/>
              </w:rPr>
              <w:t>200m）</w:t>
            </w:r>
          </w:p>
        </w:tc>
        <w:tc>
          <w:tcPr>
            <w:tcW w:type="dxa" w:w="3346"/>
            <w:tcBorders>
              <w:top w:val="none" w:color="000000" w:sz="4"/>
              <w:left w:val="none" w:color="000000" w:sz="4"/>
              <w:bottom w:val="single" w:color="000000" w:sz="4"/>
              <w:right w:val="single" w:color="000000" w:sz="4"/>
            </w:tcBorders>
            <w:vAlign w:val="top"/>
          </w:tcPr>
          <w:p>
            <w:pPr>
              <w:jc w:val="left"/>
            </w:pPr>
            <w:r>
              <w:rPr>
                <w:color w:val="000000"/>
                <w:sz w:val="21"/>
              </w:rPr>
              <w:t>1、</w:t>
            </w:r>
            <w:r>
              <w:rPr>
                <w:color w:val="000000"/>
                <w:sz w:val="21"/>
              </w:rPr>
              <w:t>铲运机铲运土方</w:t>
            </w:r>
            <w:r>
              <w:rPr>
                <w:color w:val="000000"/>
                <w:sz w:val="21"/>
              </w:rPr>
              <w:t>运距</w:t>
            </w:r>
            <w:r>
              <w:rPr>
                <w:color w:val="000000"/>
                <w:sz w:val="21"/>
              </w:rPr>
              <w:t>200m 一、二类土</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1"/>
              </w:rPr>
              <w:t>232000.000</w:t>
            </w:r>
          </w:p>
        </w:tc>
      </w:tr>
      <w:tr>
        <w:tc>
          <w:tcPr>
            <w:tcW w:type="dxa" w:w="54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454"/>
            <w:tcBorders>
              <w:top w:val="none" w:color="000000" w:sz="4"/>
              <w:left w:val="none" w:color="000000" w:sz="4"/>
              <w:bottom w:val="single" w:color="000000" w:sz="4"/>
              <w:right w:val="single" w:color="000000" w:sz="4"/>
            </w:tcBorders>
            <w:vAlign w:val="top"/>
          </w:tcPr>
          <w:p>
            <w:pPr>
              <w:jc w:val="left"/>
            </w:pPr>
            <w:r>
              <w:rPr>
                <w:color w:val="000000"/>
                <w:sz w:val="21"/>
              </w:rPr>
              <w:t>挖</w:t>
            </w:r>
            <w:r>
              <w:rPr>
                <w:color w:val="000000"/>
                <w:sz w:val="21"/>
              </w:rPr>
              <w:t>一般</w:t>
            </w:r>
            <w:r>
              <w:rPr>
                <w:color w:val="000000"/>
                <w:sz w:val="21"/>
              </w:rPr>
              <w:t>土方（</w:t>
            </w:r>
            <w:r>
              <w:rPr>
                <w:color w:val="000000"/>
                <w:sz w:val="21"/>
              </w:rPr>
              <w:t>钩机挖、汽车运</w:t>
            </w:r>
            <w:r>
              <w:rPr>
                <w:color w:val="000000"/>
                <w:sz w:val="21"/>
              </w:rPr>
              <w:t>1km</w:t>
            </w:r>
            <w:r>
              <w:rPr>
                <w:color w:val="000000"/>
                <w:sz w:val="21"/>
              </w:rPr>
              <w:t>）</w:t>
            </w:r>
          </w:p>
        </w:tc>
        <w:tc>
          <w:tcPr>
            <w:tcW w:type="dxa" w:w="3346"/>
            <w:tcBorders>
              <w:top w:val="none" w:color="000000" w:sz="4"/>
              <w:left w:val="none" w:color="000000" w:sz="4"/>
              <w:bottom w:val="single" w:color="000000" w:sz="4"/>
              <w:right w:val="single" w:color="000000" w:sz="4"/>
            </w:tcBorders>
            <w:vAlign w:val="top"/>
          </w:tcPr>
          <w:p>
            <w:pPr>
              <w:jc w:val="left"/>
            </w:pPr>
            <w:r>
              <w:rPr>
                <w:color w:val="000000"/>
                <w:sz w:val="21"/>
              </w:rPr>
              <w:t>1、</w:t>
            </w:r>
            <w:r>
              <w:rPr>
                <w:color w:val="000000"/>
                <w:sz w:val="21"/>
              </w:rPr>
              <w:t>挖掘机挖装一般土方</w:t>
            </w:r>
            <w:r>
              <w:rPr>
                <w:color w:val="000000"/>
                <w:sz w:val="21"/>
              </w:rPr>
              <w:t>一、二类土</w:t>
            </w:r>
            <w:r>
              <w:br/>
            </w:r>
            <w:r>
              <w:rPr>
                <w:color w:val="000000"/>
                <w:sz w:val="21"/>
              </w:rPr>
              <w:t>2、自卸汽车运土方 运距</w:t>
            </w:r>
            <w:r>
              <w:rPr>
                <w:color w:val="000000"/>
                <w:sz w:val="21"/>
              </w:rPr>
              <w:t>1</w:t>
            </w:r>
            <w:r>
              <w:rPr>
                <w:color w:val="000000"/>
                <w:sz w:val="21"/>
              </w:rPr>
              <w:t>km</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30"/>
            <w:tcBorders>
              <w:top w:val="none" w:color="000000" w:sz="4"/>
              <w:left w:val="none" w:color="000000" w:sz="4"/>
              <w:bottom w:val="single" w:color="000000" w:sz="4"/>
              <w:right w:val="single" w:color="000000" w:sz="4"/>
            </w:tcBorders>
            <w:vAlign w:val="top"/>
          </w:tcPr>
          <w:p>
            <w:pPr>
              <w:jc w:val="center"/>
            </w:pPr>
            <w:r>
              <w:rPr>
                <w:color w:val="000000"/>
                <w:sz w:val="21"/>
              </w:rPr>
              <w:t>30000.000</w:t>
            </w:r>
          </w:p>
        </w:tc>
      </w:tr>
    </w:tbl>
    <w:p>
      <w:r>
        <w:rPr>
          <w:sz w:val="21"/>
        </w:rPr>
        <w:t>注：供应商应自行踏勘现场并研究工程量清单、图纸等其他技术文件，去了解本工程的实际范围、实际施工现场状况和相关施工应对措施。</w:t>
      </w:r>
    </w:p>
    <w:p/>
    <w:p>
      <w:pPr>
        <w:ind w:firstLine="480"/>
      </w:pPr>
    </w:p>
    <w:p/>
    <w:p>
      <w:r>
        <w:rPr/>
        <w:t>采购包1（云浮220千伏良洞（新兴）输变电站场地平整工程）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★自合同签订生效之日起60天内完成</w:t>
            </w:r>
          </w:p>
        </w:tc>
      </w:tr>
      <w:tr>
        <w:tc>
          <w:tcPr>
            <w:tcW w:type="dxa" w:w="4153"/>
          </w:tcPr>
          <w:p>
            <w:r>
              <w:rPr/>
              <w:t>标的提供的地点</w:t>
            </w:r>
          </w:p>
        </w:tc>
        <w:tc>
          <w:tcPr>
            <w:tcW w:type="dxa" w:w="4153"/>
          </w:tcPr>
          <w:p/>
          <w:p>
            <w:r>
              <w:rPr/>
              <w:t>新兴县六祖镇</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2期：支付比例50%,★进度款实行按月支付，按每月完成的工程造价的80%比例支付进度款，在支付进度款时按当期完成工程造价金额的30%比例扣回预付款，工程竣工时共支付到合同总价的80%；</w:t>
            </w:r>
          </w:p>
          <w:p/>
          <w:p>
            <w:r>
              <w:rPr/>
              <w:t>3期：支付比例20%,★工程竣工验收合格后支付至合同总价的100%。</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供应商须严格按照施工技术要求进行报价，报价包含项目前期调研费、现场勘察费、资料收集费、分部分项工程费、措施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（1）项目完成时间：自合同签订生效之日起60天内完成。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其他要求</w:t>
            </w:r>
          </w:p>
        </w:tc>
        <w:tc>
          <w:tcPr>
            <w:tcW w:type="dxa" w:w="2076"/>
          </w:tcPr>
          <w:p>
            <w:pPr>
              <w:jc w:val="left"/>
            </w:pPr>
            <w:r>
              <w:rPr/>
              <w:t>（1）供应商须对项目实施提供必要的技术支持和服务保证。 （2）工程质量不合格、不符合设计标准、达不到设计要求，或施工程序不按施工规范的，采购人有权要求成交供应商停工和返工，因停工和返工造成的一切损失由成交供应商自行承担，工期不予顺延。 （3）发生须紧急抢修事故的，成交供应商在接到事故通知后，应当立即到达事故现场抢修。 （4）因成交供应商原因致使工程在国家规定的工程合理使用期限内造成人身和财产损害的，成交供应商应承担赔偿责任。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土石方工程</w:t>
            </w:r>
          </w:p>
        </w:tc>
        <w:tc>
          <w:tcPr>
            <w:tcW w:type="dxa" w:w="933"/>
          </w:tcPr>
          <w:p>
            <w:pPr>
              <w:jc w:val="left"/>
            </w:pPr>
            <w:r>
              <w:rPr/>
              <w:t>云浮220千伏良洞（新兴）输变电站场地平整工程</w:t>
            </w:r>
          </w:p>
        </w:tc>
        <w:tc>
          <w:tcPr>
            <w:tcW w:type="dxa" w:w="933"/>
          </w:tcPr>
          <w:p>
            <w:pPr>
              <w:jc w:val="left"/>
            </w:pPr>
            <w:r>
              <w:rPr/>
              <w:t>项</w:t>
            </w:r>
          </w:p>
        </w:tc>
        <w:tc>
          <w:tcPr>
            <w:tcW w:type="dxa" w:w="933"/>
          </w:tcPr>
          <w:p>
            <w:pPr>
              <w:jc w:val="right"/>
            </w:pPr>
            <w:r>
              <w:rPr/>
              <w:t>1.00</w:t>
            </w:r>
          </w:p>
        </w:tc>
        <w:tc>
          <w:tcPr>
            <w:tcW w:type="dxa" w:w="933"/>
          </w:tcPr>
          <w:p>
            <w:pPr>
              <w:jc w:val="right"/>
            </w:pPr>
            <w:r>
              <w:rPr/>
              <w:t>2,009,410.84</w:t>
            </w:r>
          </w:p>
        </w:tc>
        <w:tc>
          <w:tcPr>
            <w:tcW w:type="dxa" w:w="933"/>
          </w:tcPr>
          <w:p>
            <w:pPr>
              <w:jc w:val="right"/>
            </w:pPr>
            <w:r>
              <w:rPr/>
              <w:t>2,009,410.84</w:t>
            </w:r>
          </w:p>
        </w:tc>
        <w:tc>
          <w:tcPr>
            <w:tcW w:type="dxa" w:w="840"/>
          </w:tcPr>
          <w:p>
            <w:r>
              <w:rPr/>
              <w:t>建筑业</w:t>
            </w:r>
          </w:p>
        </w:tc>
        <w:tc>
          <w:tcPr>
            <w:tcW w:type="dxa" w:w="933"/>
          </w:tcPr>
          <w:p>
            <w:r>
              <w:rPr/>
              <w:t>详见附表一</w:t>
            </w:r>
          </w:p>
        </w:tc>
      </w:tr>
    </w:tbl>
    <w:p/>
    <w:p>
      <w:r>
        <w:rPr>
          <w:b/>
        </w:rPr>
        <w:t>附表</w:t>
      </w:r>
      <w:r>
        <w:rPr>
          <w:b/>
        </w:rPr>
        <w:t>一</w:t>
      </w:r>
      <w:r>
        <w:rPr>
          <w:b/>
        </w:rPr>
        <w:t>：</w:t>
      </w:r>
      <w:r>
        <w:rPr>
          <w:b/>
        </w:rPr>
        <w:t>云浮220千伏良洞（新兴）输变电站场地平整工程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）本项目中：供应商须负责整个项目所有的施工任务，包括材料设备的采购、施工及保护，不论是永久性质的或是临时性质的。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w:t>
            </w:r>
            <w:r>
              <w:rPr>
                <w:sz w:val="21"/>
              </w:rPr>
              <w:t>工程</w:t>
            </w:r>
            <w:r>
              <w:rPr>
                <w:sz w:val="21"/>
              </w:rPr>
              <w:t>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p>
          <w:p>
            <w:r>
              <w:rPr>
                <w:sz w:val="21"/>
              </w:rPr>
              <w:t>6</w:t>
            </w:r>
            <w:r>
              <w:rPr>
                <w:sz w:val="21"/>
              </w:rPr>
              <w:t>）</w:t>
            </w:r>
            <w:r>
              <w:rPr>
                <w:sz w:val="21"/>
              </w:rPr>
              <w:t>成交供应商一旦进场施工，须严格遵守采购人的各项规章制度，包括但不限于：</w:t>
            </w:r>
          </w:p>
          <w:p>
            <w:r>
              <w:rPr>
                <w:sz w:val="21"/>
              </w:rPr>
              <w:t>①在规定的地域施工和活动；</w:t>
            </w:r>
          </w:p>
          <w:p>
            <w:r>
              <w:rPr>
                <w:sz w:val="21"/>
              </w:rPr>
              <w:t>②项目负责人和管理人员须坚守岗位，因事需离开施工现场的，须提前向采购人请假，经采购人同意方可离开。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新兴县六祖镇人民政府（本级）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05月22日下午15：00（注：2023年05月22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云浮220千伏良洞（新兴）输变电站场地平整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采购包1（云浮220千伏良洞（新兴）输变电站场地平整工程）：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采购包1（云浮220千伏良洞（新兴）输变电站场地平整工程）：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合同包1(云浮220千伏良洞（新兴）输变电站场地平整工程)特定资格要求如下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采购包1（云浮220千伏良洞（新兴）输变电站场地平整工程）：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采购包1(云浮220千伏良洞（新兴）输变电站场地平整工程):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技术部分30.0分</w:t>
            </w:r>
          </w:p>
          <w:p>
            <w:r>
              <w:rPr/>
              <w:t>报价得分60.0分</w:t>
            </w:r>
          </w:p>
        </w:tc>
      </w:tr>
      <w:tr>
        <w:tc>
          <w:tcPr>
            <w:tcW w:type="dxa" w:w="922"/>
            <w:gridSpan w:val="2"/>
            <w:vMerge w:val="restart"/>
          </w:tcPr>
          <w:p>
            <w:pPr>
              <w:jc w:val="center"/>
            </w:pPr>
            <w:r>
              <w:rPr/>
              <w:t>技术部分</w:t>
            </w:r>
          </w:p>
        </w:tc>
        <w:tc>
          <w:tcPr>
            <w:tcW w:type="dxa" w:w="2307"/>
          </w:tcPr>
          <w:p>
            <w:pPr>
              <w:jc w:val="left"/>
            </w:pPr>
            <w:r>
              <w:rPr/>
              <w:t>采购需求响应程度 (2.0分)</w:t>
            </w:r>
            <w:r>
              <w:rPr/>
              <w:t>，（等次分值选择：</w:t>
            </w:r>
            <w:r>
              <w:rPr/>
              <w:t>0.0;</w:t>
            </w:r>
            <w:r>
              <w:rPr/>
              <w:t>0.5;</w:t>
            </w:r>
            <w:r>
              <w:rPr/>
              <w:t>1.0;</w:t>
            </w:r>
            <w:r>
              <w:rPr/>
              <w:t>2.0;</w:t>
            </w:r>
            <w:r>
              <w:rPr/>
              <w:t>）</w:t>
            </w:r>
          </w:p>
        </w:tc>
        <w:tc>
          <w:tcPr>
            <w:tcW w:type="dxa" w:w="5076"/>
          </w:tcPr>
          <w:p>
            <w:pPr>
              <w:jc w:val="left"/>
            </w:pPr>
            <w:r>
              <w:rPr/>
              <w:t>考查各供应商对“第二章 采购需求”中“1.主要商务要求”和“2.技术标准与要求”的非“★”项条款的响应情况： （1）逐条响应，存在合理的正偏离的，得2分； （2）响应完全的，得1分； （3）响应不完全，有部分缺漏的，得0.5分； （4）响应缺漏严重的，得0分。</w:t>
            </w:r>
          </w:p>
        </w:tc>
      </w:tr>
      <w:tr>
        <w:tc>
          <w:tcPr>
            <w:tcW w:type="dxa" w:w="922"/>
            <w:gridSpan w:val="2"/>
            <w:vMerge/>
          </w:tcPr>
          <w:p/>
        </w:tc>
        <w:tc>
          <w:tcPr>
            <w:tcW w:type="dxa" w:w="2307"/>
          </w:tcPr>
          <w:p>
            <w:pPr>
              <w:jc w:val="left"/>
            </w:pPr>
            <w:r>
              <w:rPr/>
              <w:t>整体施工方案 (12.0分)</w:t>
            </w:r>
            <w:r>
              <w:rPr/>
              <w:t>，（等次分值选择：</w:t>
            </w:r>
            <w:r>
              <w:rPr/>
              <w:t>0.0;</w:t>
            </w:r>
            <w:r>
              <w:rPr/>
              <w:t>3.0;</w:t>
            </w:r>
            <w:r>
              <w:rPr/>
              <w:t>6.0;</w:t>
            </w:r>
            <w:r>
              <w:rPr/>
              <w:t>9.0;</w:t>
            </w:r>
            <w:r>
              <w:rPr/>
              <w:t>12.0;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12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(8.0分)</w:t>
            </w:r>
            <w:r>
              <w:rPr/>
              <w:t>，（等次分值选择：</w:t>
            </w:r>
            <w:r>
              <w:rPr/>
              <w:t>0.0;</w:t>
            </w:r>
            <w:r>
              <w:rPr/>
              <w:t>2.0;</w:t>
            </w:r>
            <w:r>
              <w:rPr/>
              <w:t>4.0;</w:t>
            </w:r>
            <w:r>
              <w:rPr/>
              <w:t>6.0;</w:t>
            </w:r>
            <w:r>
              <w:rPr/>
              <w:t>8.0;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8分；每出现一处相对弱势或瑕疵或欠缺的，扣2分，扣完为止；无提供方案的不得分。</w:t>
            </w:r>
          </w:p>
        </w:tc>
      </w:tr>
      <w:tr>
        <w:tc>
          <w:tcPr>
            <w:tcW w:type="dxa" w:w="922"/>
            <w:gridSpan w:val="2"/>
            <w:vMerge/>
          </w:tcPr>
          <w:p/>
        </w:tc>
        <w:tc>
          <w:tcPr>
            <w:tcW w:type="dxa" w:w="2307"/>
          </w:tcPr>
          <w:p>
            <w:pPr>
              <w:jc w:val="left"/>
            </w:pPr>
            <w:r>
              <w:rPr/>
              <w:t>安全生产、文明施工与环境保护措施 (8.0分)</w:t>
            </w:r>
            <w:r>
              <w:rPr/>
              <w:t>，（等次分值选择：</w:t>
            </w:r>
            <w:r>
              <w:rPr/>
              <w:t>0.0;</w:t>
            </w:r>
            <w:r>
              <w:rPr/>
              <w:t>2.0;</w:t>
            </w:r>
            <w:r>
              <w:rPr/>
              <w:t>4.0;</w:t>
            </w:r>
            <w:r>
              <w:rPr/>
              <w:t>6.0;</w:t>
            </w:r>
            <w:r>
              <w:rPr/>
              <w:t>8.0;</w:t>
            </w:r>
            <w:r>
              <w:rPr/>
              <w:t>）</w:t>
            </w:r>
          </w:p>
        </w:tc>
        <w:tc>
          <w:tcPr>
            <w:tcW w:type="dxa" w:w="5076"/>
          </w:tcPr>
          <w:p>
            <w:pPr>
              <w:jc w:val="left"/>
            </w:pPr>
            <w:r>
              <w:rPr/>
              <w:t>由磋商小组根据供应商提供的安全生产、文明施工与环境保护措施进行评审：措施周全、合理、可靠，管理制度完善，得8分；每出现一处相对弱势或瑕疵或欠缺的，扣2分，扣完为止；无提供方案的不得分。</w:t>
            </w:r>
          </w:p>
        </w:tc>
      </w:tr>
      <w:tr>
        <w:tc>
          <w:tcPr>
            <w:tcW w:type="dxa" w:w="922"/>
            <w:gridSpan w:val="2"/>
            <w:vMerge w:val="restart"/>
          </w:tcPr>
          <w:p>
            <w:pPr>
              <w:jc w:val="center"/>
            </w:pPr>
            <w:r>
              <w:rPr/>
              <w:t>商务部分</w:t>
            </w:r>
          </w:p>
        </w:tc>
        <w:tc>
          <w:tcPr>
            <w:tcW w:type="dxa" w:w="2307"/>
          </w:tcPr>
          <w:p>
            <w:pPr>
              <w:jc w:val="left"/>
            </w:pPr>
            <w:r>
              <w:rPr/>
              <w:t>同类项目业绩 (6.0分)</w:t>
            </w:r>
            <w:r>
              <w:rPr/>
              <w:t>，（等次分值选择：</w:t>
            </w:r>
            <w:r>
              <w:rPr/>
              <w:t>0.0;</w:t>
            </w:r>
            <w:r>
              <w:rPr/>
              <w:t>2.0;</w:t>
            </w:r>
            <w:r>
              <w:rPr/>
              <w:t>4.0;</w:t>
            </w:r>
            <w:r>
              <w:rPr/>
              <w:t>6.0;</w:t>
            </w:r>
            <w:r>
              <w:rPr/>
              <w:t>）</w:t>
            </w:r>
          </w:p>
        </w:tc>
        <w:tc>
          <w:tcPr>
            <w:tcW w:type="dxa" w:w="5076"/>
          </w:tcPr>
          <w:p>
            <w:pPr>
              <w:jc w:val="left"/>
            </w:pPr>
            <w:r>
              <w:rPr/>
              <w:t>供应商自2021年以来（以合同签订时间为准）承接的土方工程施工类项目业绩：每提供1个得2分，本项最高得6分。 【备注：响应文件中须提供合同关键页复印件，不提供不得分。】</w:t>
            </w:r>
          </w:p>
        </w:tc>
      </w:tr>
      <w:tr>
        <w:tc>
          <w:tcPr>
            <w:tcW w:type="dxa" w:w="922"/>
            <w:gridSpan w:val="2"/>
            <w:vMerge/>
          </w:tcPr>
          <w:p/>
        </w:tc>
        <w:tc>
          <w:tcPr>
            <w:tcW w:type="dxa" w:w="2307"/>
          </w:tcPr>
          <w:p>
            <w:pPr>
              <w:jc w:val="left"/>
            </w:pPr>
            <w:r>
              <w:rPr/>
              <w:t>服务便利性 (4.0分)</w:t>
            </w:r>
            <w:r>
              <w:rPr/>
              <w:t>，（等次分值选择：</w:t>
            </w:r>
            <w:r>
              <w:rPr/>
              <w:t>0.0;</w:t>
            </w:r>
            <w:r>
              <w:rPr/>
              <w:t>1.0;</w:t>
            </w:r>
            <w:r>
              <w:rPr/>
              <w:t>2.0;</w:t>
            </w:r>
            <w:r>
              <w:rPr/>
              <w:t>4.0;</w:t>
            </w:r>
            <w:r>
              <w:rPr/>
              <w:t>）</w:t>
            </w:r>
          </w:p>
        </w:tc>
        <w:tc>
          <w:tcPr>
            <w:tcW w:type="dxa" w:w="5076"/>
          </w:tcPr>
          <w:p>
            <w:pPr>
              <w:jc w:val="left"/>
            </w:pPr>
            <w:r>
              <w:rPr/>
              <w:t>为保证服务响应时效，由磋商小组对供应商服务机构的便利性进行评审： （1）距离≤30公里的，得4分； （2）30公里＜距离≤90公里的，得2分； （3）90公里＜距离≤150公里的，得1分； （4）距离＞150公里的，不得分。 【备注：以供应商服务机构营业执照地址到新兴县六祖镇人民政府的距离为准，响应文件中须同时提供服务机构营业执照复印件和百度地图距离查询截图，不提供不得分。】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(60.0分)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pPr>
      <w:r>
        <w:rPr>
          <w:sz w:val="21"/>
        </w:rPr>
        <w:t>注：</w:t>
      </w:r>
      <w:r>
        <w:rPr>
          <w:sz w:val="21"/>
        </w:rPr>
        <w:t>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r>
        <w:rPr/>
        <w:t xml:space="preserve"> </w:t>
      </w:r>
    </w:p>
    <w:p>
      <w:pPr>
        <w:jc w:val="center"/>
      </w:pPr>
      <w:r>
        <w:rPr/>
        <w:t xml:space="preserve"> </w:t>
      </w:r>
    </w:p>
    <w:p>
      <w:pPr>
        <w:jc w:val="center"/>
      </w:pPr>
    </w:p>
    <w:p>
      <w:pPr>
        <w:jc w:val="center"/>
      </w:pP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提供</w:t>
      </w:r>
      <w:r>
        <w:rPr>
          <w:b/>
          <w:sz w:val="21"/>
          <w:u w:val="single"/>
        </w:rPr>
        <w:t>4套图纸</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①签订合同后5个工作日内支付合同总价的30%作为预付款；</w:t>
      </w:r>
    </w:p>
    <w:p>
      <w:pPr>
        <w:ind w:firstLine="420"/>
      </w:pPr>
      <w:r>
        <w:rPr>
          <w:sz w:val="21"/>
          <w:u w:val="single"/>
        </w:rPr>
        <w:t>②进度款实行按月支付，按每月完成的工程造价的80%比例支付进度款，在支付进度款时按当期完成工程造价金额的30%比例扣回预付款，工程竣工时共支付到合同总价的80%；</w:t>
      </w:r>
    </w:p>
    <w:p>
      <w:pPr>
        <w:ind w:firstLine="420"/>
      </w:pPr>
      <w:r>
        <w:rPr>
          <w:sz w:val="21"/>
          <w:u w:val="single"/>
        </w:rPr>
        <w:t>③工程竣工验收合格后支付至合同总价的100%。</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 xml:space="preserve"> </w:t>
      </w:r>
      <w:r>
        <w:rPr>
          <w:b/>
          <w:sz w:val="21"/>
          <w:u w:val="single"/>
        </w:rPr>
        <w:t xml:space="preserve">        </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 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工程竣工验收合格后支付至合同总价的</w:t>
      </w:r>
      <w:r>
        <w:rPr>
          <w:sz w:val="21"/>
          <w:u w:val="single"/>
        </w:rPr>
        <w:t>100%</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 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w:t>
      </w:r>
      <w:r>
        <w:rPr>
          <w:sz w:val="21"/>
        </w:rPr>
        <w:t>一</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445321-2023-00511</w:t>
      </w:r>
    </w:p>
    <w:p>
      <w:pPr>
        <w:jc w:val="center"/>
      </w:pPr>
      <w:r>
        <w:rPr>
          <w:b/>
          <w:sz w:val="24"/>
        </w:rPr>
        <w:t>采购项目编号：</w:t>
      </w:r>
      <w:r>
        <w:rPr>
          <w:b/>
          <w:sz w:val="24"/>
        </w:rPr>
        <w:t>YFZC23GC0060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云浮220千伏良洞（新兴）输变电站场地平整工程</w:t>
      </w:r>
      <w:r>
        <w:rPr>
          <w:u w:val="single"/>
        </w:rPr>
        <w:t>”</w:t>
      </w:r>
      <w:r>
        <w:rPr/>
        <w:t>项目的竞争性磋商[采购项目编号为：</w:t>
      </w:r>
      <w:r>
        <w:rPr>
          <w:u w:val="single"/>
        </w:rPr>
        <w:t>YFZC23GC0060</w:t>
      </w:r>
      <w:r>
        <w:rPr/>
        <w:t>]，我方愿参与响应。</w:t>
      </w:r>
    </w:p>
    <w:p>
      <w:pPr>
        <w:ind w:firstLine="480"/>
      </w:pPr>
      <w:r>
        <w:rPr/>
        <w:t>我方确认收到贵方提供的</w:t>
      </w:r>
      <w:r>
        <w:rPr>
          <w:u w:val="single"/>
        </w:rPr>
        <w:t>“</w:t>
      </w:r>
      <w:r>
        <w:rPr>
          <w:u w:val="single"/>
        </w:rPr>
        <w:t>云浮220千伏良洞（新兴）输变电站场地平整工程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云浮220千伏良洞（新兴）输变电站场地平整工程</w:t>
      </w:r>
      <w:r>
        <w:rPr/>
        <w:t>”项目采购[采购项目编号为</w:t>
      </w:r>
      <w:r>
        <w:rPr/>
        <w:t>YFZC23GC0060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新兴县六祖镇人民政府（本级）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云浮220千伏良洞（新兴）输变电站场地平整工程</w:t>
      </w:r>
      <w:r>
        <w:rPr/>
        <w:t>（采购项目编号：</w:t>
      </w:r>
      <w:r>
        <w:rPr/>
        <w:t>YFZC23GC0060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云浮220千伏良洞（新兴）输变电站场地平整工程</w:t>
      </w:r>
      <w:r>
        <w:rPr/>
        <w:t>”项目（采购项目编号：</w:t>
      </w:r>
      <w:r>
        <w:rPr/>
        <w:t>YFZC23GC0060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