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445321-2022-02237</w:t>
      </w:r>
    </w:p>
    <w:p>
      <w:pPr>
        <w:jc w:val="center"/>
      </w:pPr>
      <w:r>
        <w:rPr>
          <w:b/>
          <w:sz w:val="24"/>
        </w:rPr>
        <w:t>采购项目编号：</w:t>
      </w:r>
      <w:r>
        <w:rPr>
          <w:b/>
          <w:sz w:val="24"/>
        </w:rPr>
        <w:t>YFZC22GC0161</w:t>
      </w:r>
    </w:p>
    <w:p>
      <w:pPr>
        <w:jc w:val="center"/>
      </w:pPr>
      <w:r>
        <w:rPr>
          <w:b/>
          <w:sz w:val="24"/>
        </w:rPr>
        <w:t>项目名称：</w:t>
      </w:r>
      <w:r>
        <w:rPr>
          <w:b/>
          <w:sz w:val="24"/>
        </w:rPr>
        <w:t>东成镇古院第三小组屋前和古院街后排沟渠治理工程</w:t>
      </w:r>
    </w:p>
    <w:p>
      <w:pPr>
        <w:jc w:val="center"/>
      </w:pPr>
      <w:r>
        <w:rPr>
          <w:b/>
          <w:sz w:val="24"/>
        </w:rPr>
        <w:t>采购人：</w:t>
      </w:r>
      <w:r>
        <w:rPr>
          <w:b/>
          <w:sz w:val="24"/>
        </w:rPr>
        <w:t>新兴县东成镇人民政府（本级）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新兴县东成镇人民政府（本级）</w:t>
      </w:r>
      <w:r>
        <w:rPr/>
        <w:t>的委托，采用</w:t>
      </w:r>
      <w:r>
        <w:rPr/>
        <w:t>竞争性磋商</w:t>
      </w:r>
      <w:r>
        <w:rPr/>
        <w:t>方式组织采购</w:t>
      </w:r>
      <w:r>
        <w:rPr/>
        <w:t>东成镇古院第三小组屋前和古院街后排沟渠治理工程</w:t>
      </w:r>
      <w:r>
        <w:rPr/>
        <w:t>。欢迎符合资格条件的供应商参加。</w:t>
      </w:r>
    </w:p>
    <w:p>
      <w:r>
        <w:rPr>
          <w:b/>
          <w:sz w:val="28"/>
        </w:rPr>
        <w:t>一.项目概述</w:t>
      </w:r>
    </w:p>
    <w:p>
      <w:r>
        <w:rPr>
          <w:b/>
          <w:sz w:val="24"/>
        </w:rPr>
        <w:t>1.名称与编号</w:t>
      </w:r>
    </w:p>
    <w:p>
      <w:pPr>
        <w:ind w:firstLine="480"/>
      </w:pPr>
      <w:r>
        <w:rPr/>
        <w:t>采购项目名称：</w:t>
      </w:r>
      <w:r>
        <w:rPr/>
        <w:t>东成镇古院第三小组屋前和古院街后排沟渠治理工程</w:t>
      </w:r>
    </w:p>
    <w:p>
      <w:pPr>
        <w:ind w:firstLine="480"/>
      </w:pPr>
      <w:r>
        <w:rPr/>
        <w:t>采购计划编号：</w:t>
      </w:r>
      <w:r>
        <w:rPr/>
        <w:t>445321-2022-02237</w:t>
      </w:r>
    </w:p>
    <w:p>
      <w:pPr>
        <w:ind w:firstLine="480"/>
      </w:pPr>
      <w:r>
        <w:rPr/>
        <w:t>采购项目编号：</w:t>
      </w:r>
      <w:r>
        <w:rPr/>
        <w:t>YFZC22GC0161</w:t>
      </w:r>
    </w:p>
    <w:p>
      <w:pPr>
        <w:ind w:firstLine="480"/>
      </w:pPr>
      <w:r>
        <w:rPr/>
        <w:t>采购方式：</w:t>
      </w:r>
      <w:r>
        <w:rPr/>
        <w:t>竞争性磋商</w:t>
      </w:r>
    </w:p>
    <w:p>
      <w:pPr>
        <w:ind w:firstLine="480"/>
      </w:pPr>
      <w:r>
        <w:rPr/>
        <w:t>预算金额：</w:t>
      </w:r>
      <w:r>
        <w:rPr/>
        <w:t>1,092,794.68</w:t>
      </w:r>
      <w:r>
        <w:rPr/>
        <w:t>元</w:t>
      </w:r>
    </w:p>
    <w:p>
      <w:r>
        <w:rPr>
          <w:b/>
          <w:sz w:val="24"/>
        </w:rPr>
        <w:t>2.项目内容及需求情况（采购项目技术规格、参数及要求）</w:t>
      </w:r>
    </w:p>
    <w:p>
      <w:pPr>
        <w:ind w:firstLine="480"/>
      </w:pPr>
    </w:p>
    <w:p/>
    <w:p>
      <w:r>
        <w:rPr/>
        <w:t>采购包1(东成镇古院第三小组屋前和古院街后排沟渠治理工程):</w:t>
      </w:r>
    </w:p>
    <w:p>
      <w:r>
        <w:rPr/>
        <w:t>采购包预算金额：1,092,794.68元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其他市政工程施工</w:t>
            </w:r>
          </w:p>
        </w:tc>
        <w:tc>
          <w:tcPr>
            <w:tcW w:type="dxa" w:w="2052"/>
          </w:tcPr>
          <w:p>
            <w:r>
              <w:rPr/>
              <w:t>东成镇古院第三小组屋前和古院街后排沟渠治理工程施工</w:t>
            </w:r>
          </w:p>
        </w:tc>
        <w:tc>
          <w:tcPr>
            <w:tcW w:type="dxa" w:w="977"/>
          </w:tcPr>
          <w:p>
            <w:r>
              <w:rPr/>
              <w:t>1.0000(项)</w:t>
            </w:r>
          </w:p>
        </w:tc>
        <w:tc>
          <w:tcPr>
            <w:tcW w:type="dxa" w:w="977"/>
          </w:tcPr>
          <w:p>
            <w:r>
              <w:rPr/>
              <w:t>详见第二章</w:t>
            </w:r>
          </w:p>
        </w:tc>
        <w:tc>
          <w:tcPr>
            <w:tcW w:type="dxa" w:w="977"/>
          </w:tcPr>
          <w:p>
            <w:r>
              <w:rPr/>
              <w:t>1,092,794.68</w:t>
            </w:r>
          </w:p>
        </w:tc>
        <w:tc>
          <w:tcPr>
            <w:tcW w:type="dxa" w:w="977"/>
          </w:tcPr>
          <w:p>
            <w:r>
              <w:rPr/>
              <w:t>否</w:t>
            </w:r>
          </w:p>
        </w:tc>
      </w:tr>
    </w:tbl>
    <w:p/>
    <w:p>
      <w:r>
        <w:rPr/>
        <w:t>本采购包不接受联合体响应</w:t>
      </w:r>
    </w:p>
    <w:p/>
    <w:p>
      <w:r>
        <w:rPr/>
        <w:t>合同履行期限：自合同签订生效之日起180天内完成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采购包1（东成镇古院第三小组屋前和古院街后排沟渠治理工程）：</w:t>
      </w:r>
      <w:r>
        <w:rPr/>
        <w:t>参与的供应商工程的施工单位全部为符合政策要求的中小企业。</w:t>
      </w:r>
    </w:p>
    <w:p/>
    <w:p>
      <w:r>
        <w:rPr>
          <w:b/>
          <w:sz w:val="24"/>
        </w:rPr>
        <w:t>3.本项目特定的资格要求：</w:t>
      </w:r>
    </w:p>
    <w:p>
      <w:pPr>
        <w:ind w:firstLine="480"/>
      </w:pPr>
    </w:p>
    <w:p/>
    <w:p>
      <w:r>
        <w:rPr/>
        <w:t>采购包1（东成镇古院第三小组屋前和古院街后排沟渠治理工程）：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新兴县东成镇人民政府（本级）</w:t>
      </w:r>
    </w:p>
    <w:p>
      <w:pPr>
        <w:ind w:firstLine="480"/>
      </w:pPr>
      <w:r>
        <w:rPr/>
        <w:t>地址：</w:t>
      </w:r>
      <w:r>
        <w:rPr/>
        <w:t>广东省云浮市新兴县东成镇东成圩</w:t>
      </w:r>
    </w:p>
    <w:p>
      <w:pPr>
        <w:ind w:firstLine="480"/>
      </w:pPr>
      <w:r>
        <w:rPr/>
        <w:t>联系方式：</w:t>
      </w:r>
      <w:r>
        <w:rPr/>
        <w:t>苏先生 0766-2536956</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黄小姐 0766-2922133</w:t>
      </w:r>
    </w:p>
    <w:p>
      <w:r>
        <w:rPr>
          <w:b/>
          <w:sz w:val="24"/>
        </w:rPr>
        <w:t>3.项目联系方式</w:t>
      </w:r>
    </w:p>
    <w:p>
      <w:pPr>
        <w:ind w:firstLine="480"/>
      </w:pPr>
      <w:r>
        <w:rPr/>
        <w:t>项目联系人：</w:t>
      </w:r>
      <w:r>
        <w:rPr/>
        <w:t>黄小姐</w:t>
      </w:r>
    </w:p>
    <w:p>
      <w:pPr>
        <w:ind w:firstLine="480"/>
      </w:pPr>
      <w:r>
        <w:rPr/>
        <w:t>电话：</w:t>
      </w:r>
      <w:r>
        <w:rPr/>
        <w:t>黄小姐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w:t>
      </w:r>
      <w:r>
        <w:rPr>
          <w:sz w:val="21"/>
        </w:rPr>
        <w:t>项目背景：为加快推进农村黑臭水体治理工程，计划实施东成镇古院第三小组屋前和古院街后排沟渠治理工程。</w:t>
      </w:r>
    </w:p>
    <w:p>
      <w:r>
        <w:rPr>
          <w:sz w:val="21"/>
        </w:rPr>
        <w:t>（</w:t>
      </w:r>
      <w:r>
        <w:rPr>
          <w:sz w:val="21"/>
        </w:rPr>
        <w:t>2</w:t>
      </w:r>
      <w:r>
        <w:rPr>
          <w:sz w:val="21"/>
        </w:rPr>
        <w:t>）</w:t>
      </w:r>
      <w:r>
        <w:rPr>
          <w:sz w:val="21"/>
        </w:rPr>
        <w:t>项目主要建设内容及规模：</w:t>
      </w:r>
      <w:r>
        <w:rPr>
          <w:sz w:val="21"/>
        </w:rPr>
        <w:t>新建配套污水收集管网，安装塑料管管件</w:t>
      </w:r>
      <w:r>
        <w:rPr>
          <w:sz w:val="21"/>
        </w:rPr>
        <w:t>132个，新建管道Φ315管总长675米，Φ160管总长1274米，管道铺设占地面积约1992.71平方米等</w:t>
      </w:r>
      <w:r>
        <w:rPr>
          <w:sz w:val="21"/>
        </w:rPr>
        <w:t>。</w:t>
      </w:r>
    </w:p>
    <w:p>
      <w:r>
        <w:rPr>
          <w:sz w:val="21"/>
        </w:rPr>
        <w:t>（</w:t>
      </w:r>
      <w:r>
        <w:rPr>
          <w:sz w:val="21"/>
        </w:rPr>
        <w:t>3</w:t>
      </w:r>
      <w:r>
        <w:rPr>
          <w:sz w:val="21"/>
        </w:rPr>
        <w:t>）</w:t>
      </w:r>
      <w:r>
        <w:rPr>
          <w:sz w:val="21"/>
        </w:rPr>
        <w:t>项目地点：</w:t>
      </w:r>
      <w:r>
        <w:rPr>
          <w:sz w:val="21"/>
        </w:rPr>
        <w:t>东成镇古院第三小组屋前和古院街</w:t>
      </w:r>
      <w:r>
        <w:rPr>
          <w:sz w:val="21"/>
        </w:rPr>
        <w:t>。</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571"/>
        <w:gridCol w:w="1897"/>
        <w:gridCol w:w="3995"/>
        <w:gridCol w:w="925"/>
        <w:gridCol w:w="914"/>
      </w:tblGrid>
      <w:tr>
        <w:tc>
          <w:tcPr>
            <w:tcW w:type="dxa" w:w="571"/>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897"/>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3995"/>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5"/>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14"/>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71"/>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管件</w:t>
            </w:r>
          </w:p>
        </w:tc>
        <w:tc>
          <w:tcPr>
            <w:tcW w:type="dxa" w:w="3995"/>
            <w:tcBorders>
              <w:top w:val="none" w:color="000000" w:sz="4"/>
              <w:left w:val="none" w:color="000000" w:sz="4"/>
              <w:bottom w:val="single" w:color="000000" w:sz="4"/>
              <w:right w:val="single" w:color="000000" w:sz="4"/>
            </w:tcBorders>
            <w:vAlign w:val="top"/>
          </w:tcPr>
          <w:p>
            <w:pPr>
              <w:jc w:val="left"/>
            </w:pPr>
          </w:p>
        </w:tc>
        <w:tc>
          <w:tcPr>
            <w:tcW w:type="dxa" w:w="925"/>
            <w:tcBorders>
              <w:top w:val="none" w:color="000000" w:sz="4"/>
              <w:left w:val="none" w:color="000000" w:sz="4"/>
              <w:bottom w:val="single" w:color="000000" w:sz="4"/>
              <w:right w:val="single" w:color="000000" w:sz="4"/>
            </w:tcBorders>
            <w:vAlign w:val="top"/>
          </w:tcPr>
          <w:p>
            <w:pPr>
              <w:jc w:val="center"/>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塑料管管件</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1、塑料管胶圈连接 管外径250mm以内</w:t>
            </w:r>
            <w:r>
              <w:br/>
            </w:r>
            <w:r>
              <w:rPr>
                <w:color w:val="000000"/>
                <w:sz w:val="21"/>
              </w:rPr>
              <w:t>2、橡胶密封圈(排水)|φ315</w:t>
            </w:r>
            <w:r>
              <w:br/>
            </w:r>
            <w:r>
              <w:rPr>
                <w:color w:val="000000"/>
                <w:sz w:val="21"/>
              </w:rPr>
              <w:t>3、PVC-U塑料排水异径三通|φ315*160</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55</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塑料管管件</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1、塑料管胶圈连接 管外径250mm以内</w:t>
            </w:r>
            <w:r>
              <w:br/>
            </w:r>
            <w:r>
              <w:rPr>
                <w:color w:val="000000"/>
                <w:sz w:val="21"/>
              </w:rPr>
              <w:t>2、橡胶密封圈(排水)|φ315</w:t>
            </w:r>
            <w:r>
              <w:br/>
            </w:r>
            <w:r>
              <w:rPr>
                <w:color w:val="000000"/>
                <w:sz w:val="21"/>
              </w:rPr>
              <w:t>3、PVC-U塑料排水等径三通|φ315</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塑料管管件</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1、塑料管胶圈连接 管外径160mm以内</w:t>
            </w:r>
            <w:r>
              <w:br/>
            </w:r>
            <w:r>
              <w:rPr>
                <w:color w:val="000000"/>
                <w:sz w:val="21"/>
              </w:rPr>
              <w:t>2、橡胶密封圈(排水)|φ160</w:t>
            </w:r>
            <w:r>
              <w:br/>
            </w:r>
            <w:r>
              <w:rPr>
                <w:color w:val="000000"/>
                <w:sz w:val="21"/>
              </w:rPr>
              <w:t>3、PVC-U塑料排水等径三通|φ160</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76</w:t>
            </w:r>
          </w:p>
        </w:tc>
      </w:tr>
      <w:tr>
        <w:tc>
          <w:tcPr>
            <w:tcW w:type="dxa" w:w="571"/>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φ315管</w:t>
            </w:r>
          </w:p>
        </w:tc>
        <w:tc>
          <w:tcPr>
            <w:tcW w:type="dxa" w:w="3995"/>
            <w:tcBorders>
              <w:top w:val="none" w:color="000000" w:sz="4"/>
              <w:left w:val="none" w:color="000000" w:sz="4"/>
              <w:bottom w:val="single" w:color="000000" w:sz="4"/>
              <w:right w:val="single" w:color="000000" w:sz="4"/>
            </w:tcBorders>
            <w:vAlign w:val="top"/>
          </w:tcPr>
          <w:p>
            <w:pPr>
              <w:jc w:val="left"/>
            </w:pPr>
          </w:p>
        </w:tc>
        <w:tc>
          <w:tcPr>
            <w:tcW w:type="dxa" w:w="925"/>
            <w:tcBorders>
              <w:top w:val="none" w:color="000000" w:sz="4"/>
              <w:left w:val="none" w:color="000000" w:sz="4"/>
              <w:bottom w:val="single" w:color="000000" w:sz="4"/>
              <w:right w:val="single" w:color="000000" w:sz="4"/>
            </w:tcBorders>
            <w:vAlign w:val="top"/>
          </w:tcPr>
          <w:p>
            <w:pPr>
              <w:jc w:val="center"/>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挖沟槽土方（即挖即运）</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1、土壤类别：综合</w:t>
            </w:r>
            <w:r>
              <w:br/>
            </w:r>
            <w:r>
              <w:rPr>
                <w:color w:val="000000"/>
                <w:sz w:val="21"/>
              </w:rPr>
              <w:t>2、挖土深度：深2m以内</w:t>
            </w:r>
            <w:r>
              <w:br/>
            </w:r>
            <w:r>
              <w:rPr>
                <w:color w:val="000000"/>
                <w:sz w:val="21"/>
              </w:rPr>
              <w:t>3、即挖即运、运距综合</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836.15</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回填方</w:t>
            </w:r>
            <w:r>
              <w:rPr>
                <w:color w:val="000000"/>
                <w:sz w:val="21"/>
              </w:rPr>
              <w:t>-中砂</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1、密实度要求:按设计及规范要求</w:t>
            </w:r>
            <w:r>
              <w:br/>
            </w:r>
            <w:r>
              <w:rPr>
                <w:color w:val="000000"/>
                <w:sz w:val="21"/>
              </w:rPr>
              <w:t>2、填方材料品种:中粗砂</w:t>
            </w:r>
            <w:r>
              <w:br/>
            </w:r>
            <w:r>
              <w:rPr>
                <w:color w:val="000000"/>
                <w:sz w:val="21"/>
              </w:rPr>
              <w:t>3、部位:沟槽</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584.83</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1、垫层、基础材质及厚度:砂碎石垫层100mm</w:t>
            </w:r>
            <w:r>
              <w:br/>
            </w:r>
            <w:r>
              <w:rPr>
                <w:color w:val="000000"/>
                <w:sz w:val="21"/>
              </w:rPr>
              <w:t>2、材质及规格:PVC塑料排水管φ315mm</w:t>
            </w:r>
            <w:r>
              <w:br/>
            </w:r>
            <w:r>
              <w:rPr>
                <w:color w:val="000000"/>
                <w:sz w:val="21"/>
              </w:rPr>
              <w:t>3、连接形式:承插式胶圈接口</w:t>
            </w:r>
            <w:r>
              <w:br/>
            </w:r>
            <w:r>
              <w:rPr>
                <w:color w:val="000000"/>
                <w:sz w:val="21"/>
              </w:rPr>
              <w:t>4、铺设深度:按设计要求</w:t>
            </w:r>
            <w:r>
              <w:br/>
            </w:r>
            <w:r>
              <w:rPr>
                <w:color w:val="000000"/>
                <w:sz w:val="21"/>
              </w:rPr>
              <w:t>5、管道检验及试验要求:按设计及规范要求</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675.00</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水泥混凝土路面</w:t>
            </w:r>
            <w:r>
              <w:rPr>
                <w:color w:val="000000"/>
                <w:sz w:val="21"/>
              </w:rPr>
              <w:t>-15cm</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1、混凝土强度等级:C25商品混凝土</w:t>
            </w:r>
            <w:r>
              <w:br/>
            </w:r>
            <w:r>
              <w:rPr>
                <w:color w:val="000000"/>
                <w:sz w:val="21"/>
              </w:rPr>
              <w:t>2、厚度:15cm</w:t>
            </w:r>
            <w:r>
              <w:br/>
            </w:r>
            <w:r>
              <w:rPr>
                <w:color w:val="000000"/>
                <w:sz w:val="21"/>
              </w:rPr>
              <w:t>3、嵌缝材料及养生:按设计要求</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1009.08</w:t>
            </w:r>
          </w:p>
        </w:tc>
      </w:tr>
      <w:tr>
        <w:tc>
          <w:tcPr>
            <w:tcW w:type="dxa" w:w="571"/>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φ160管</w:t>
            </w:r>
          </w:p>
        </w:tc>
        <w:tc>
          <w:tcPr>
            <w:tcW w:type="dxa" w:w="3995"/>
            <w:tcBorders>
              <w:top w:val="none" w:color="000000" w:sz="4"/>
              <w:left w:val="none" w:color="000000" w:sz="4"/>
              <w:bottom w:val="single" w:color="000000" w:sz="4"/>
              <w:right w:val="single" w:color="000000" w:sz="4"/>
            </w:tcBorders>
            <w:vAlign w:val="top"/>
          </w:tcPr>
          <w:p>
            <w:pPr>
              <w:jc w:val="left"/>
            </w:pPr>
          </w:p>
        </w:tc>
        <w:tc>
          <w:tcPr>
            <w:tcW w:type="dxa" w:w="925"/>
            <w:tcBorders>
              <w:top w:val="none" w:color="000000" w:sz="4"/>
              <w:left w:val="none" w:color="000000" w:sz="4"/>
              <w:bottom w:val="single" w:color="000000" w:sz="4"/>
              <w:right w:val="single" w:color="000000" w:sz="4"/>
            </w:tcBorders>
            <w:vAlign w:val="top"/>
          </w:tcPr>
          <w:p>
            <w:pPr>
              <w:jc w:val="center"/>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挖沟槽土方（即挖即运）</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1、土壤类别：综合</w:t>
            </w:r>
            <w:r>
              <w:br/>
            </w:r>
            <w:r>
              <w:rPr>
                <w:color w:val="000000"/>
                <w:sz w:val="21"/>
              </w:rPr>
              <w:t>2、挖土深度：深2m以内</w:t>
            </w:r>
            <w:r>
              <w:br/>
            </w:r>
            <w:r>
              <w:rPr>
                <w:color w:val="000000"/>
                <w:sz w:val="21"/>
              </w:rPr>
              <w:t>3、即挖即运、运距综合</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1292.36</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回填方</w:t>
            </w:r>
            <w:r>
              <w:rPr>
                <w:color w:val="000000"/>
                <w:sz w:val="21"/>
              </w:rPr>
              <w:t>-中砂</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1、密实度要求:按设计及规范要求</w:t>
            </w:r>
            <w:r>
              <w:br/>
            </w:r>
            <w:r>
              <w:rPr>
                <w:color w:val="000000"/>
                <w:sz w:val="21"/>
              </w:rPr>
              <w:t>2、填方材料品种:中粗砂</w:t>
            </w:r>
            <w:r>
              <w:br/>
            </w:r>
            <w:r>
              <w:rPr>
                <w:color w:val="000000"/>
                <w:sz w:val="21"/>
              </w:rPr>
              <w:t>3、填方粒径要求:按设计及规范要求</w:t>
            </w:r>
            <w:r>
              <w:br/>
            </w:r>
            <w:r>
              <w:rPr>
                <w:color w:val="000000"/>
                <w:sz w:val="21"/>
              </w:rPr>
              <w:t>4、部位:沟槽</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948.83</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塑料管</w:t>
            </w:r>
            <w:r>
              <w:rPr>
                <w:color w:val="000000"/>
                <w:sz w:val="21"/>
              </w:rPr>
              <w:t>-埋管φ160</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1、垫层、基础材质及厚度:砂碎石垫层100mm</w:t>
            </w:r>
            <w:r>
              <w:br/>
            </w:r>
            <w:r>
              <w:rPr>
                <w:color w:val="000000"/>
                <w:sz w:val="21"/>
              </w:rPr>
              <w:t>2、材质及规格:PVC塑料排水管φ160mm</w:t>
            </w:r>
            <w:r>
              <w:br/>
            </w:r>
            <w:r>
              <w:rPr>
                <w:color w:val="000000"/>
                <w:sz w:val="21"/>
              </w:rPr>
              <w:t>3、连接形式:承插式胶圈接口</w:t>
            </w:r>
            <w:r>
              <w:br/>
            </w:r>
            <w:r>
              <w:rPr>
                <w:color w:val="000000"/>
                <w:sz w:val="21"/>
              </w:rPr>
              <w:t>4、铺设深度:按设计要求</w:t>
            </w:r>
            <w:r>
              <w:br/>
            </w:r>
            <w:r>
              <w:rPr>
                <w:color w:val="000000"/>
                <w:sz w:val="21"/>
              </w:rPr>
              <w:t>5、管道检验及试验要求:按设计及规范要求</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1187.39</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塑料管</w:t>
            </w:r>
            <w:r>
              <w:rPr>
                <w:color w:val="000000"/>
                <w:sz w:val="21"/>
              </w:rPr>
              <w:t>-入户管φ160</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1、垫层、基础材质及厚度:无</w:t>
            </w:r>
            <w:r>
              <w:br/>
            </w:r>
            <w:r>
              <w:rPr>
                <w:color w:val="000000"/>
                <w:sz w:val="21"/>
              </w:rPr>
              <w:t>2、材质及规格:PVC塑料排水管φ160mm</w:t>
            </w:r>
            <w:r>
              <w:br/>
            </w:r>
            <w:r>
              <w:rPr>
                <w:color w:val="000000"/>
                <w:sz w:val="21"/>
              </w:rPr>
              <w:t>3、连接形式:承插式胶圈接口</w:t>
            </w:r>
            <w:r>
              <w:br/>
            </w:r>
            <w:r>
              <w:rPr>
                <w:color w:val="000000"/>
                <w:sz w:val="21"/>
              </w:rPr>
              <w:t>4、铺设深度:按设计要求</w:t>
            </w:r>
            <w:r>
              <w:br/>
            </w:r>
            <w:r>
              <w:rPr>
                <w:color w:val="000000"/>
                <w:sz w:val="21"/>
              </w:rPr>
              <w:t>5、管道检验及试验要求:按设计及规范要求</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86.61</w:t>
            </w: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水泥混凝土路面</w:t>
            </w:r>
            <w:r>
              <w:rPr>
                <w:color w:val="000000"/>
                <w:sz w:val="21"/>
              </w:rPr>
              <w:t>-15cm</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1、混凝土强度等级:C25商品混凝土</w:t>
            </w:r>
            <w:r>
              <w:br/>
            </w:r>
            <w:r>
              <w:rPr>
                <w:color w:val="000000"/>
                <w:sz w:val="21"/>
              </w:rPr>
              <w:t>2、厚度:15cm</w:t>
            </w:r>
            <w:r>
              <w:br/>
            </w:r>
            <w:r>
              <w:rPr>
                <w:color w:val="000000"/>
                <w:sz w:val="21"/>
              </w:rPr>
              <w:t>3、嵌缝材料及养生:按设计要求</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1529.36</w:t>
            </w:r>
          </w:p>
        </w:tc>
      </w:tr>
      <w:tr>
        <w:tc>
          <w:tcPr>
            <w:tcW w:type="dxa" w:w="571"/>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路面开凿</w:t>
            </w:r>
          </w:p>
        </w:tc>
        <w:tc>
          <w:tcPr>
            <w:tcW w:type="dxa" w:w="3995"/>
            <w:tcBorders>
              <w:top w:val="none" w:color="000000" w:sz="4"/>
              <w:left w:val="none" w:color="000000" w:sz="4"/>
              <w:bottom w:val="single" w:color="000000" w:sz="4"/>
              <w:right w:val="single" w:color="000000" w:sz="4"/>
            </w:tcBorders>
            <w:vAlign w:val="top"/>
          </w:tcPr>
          <w:p>
            <w:pPr>
              <w:jc w:val="left"/>
            </w:pPr>
          </w:p>
        </w:tc>
        <w:tc>
          <w:tcPr>
            <w:tcW w:type="dxa" w:w="925"/>
            <w:tcBorders>
              <w:top w:val="none" w:color="000000" w:sz="4"/>
              <w:left w:val="none" w:color="000000" w:sz="4"/>
              <w:bottom w:val="single" w:color="000000" w:sz="4"/>
              <w:right w:val="single" w:color="000000" w:sz="4"/>
            </w:tcBorders>
            <w:vAlign w:val="top"/>
          </w:tcPr>
          <w:p>
            <w:pPr>
              <w:jc w:val="center"/>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3995"/>
            <w:tcBorders>
              <w:top w:val="none" w:color="000000" w:sz="4"/>
              <w:left w:val="none" w:color="000000" w:sz="4"/>
              <w:bottom w:val="single" w:color="000000" w:sz="4"/>
              <w:right w:val="single" w:color="000000" w:sz="4"/>
            </w:tcBorders>
            <w:vAlign w:val="top"/>
          </w:tcPr>
          <w:p>
            <w:pPr>
              <w:jc w:val="left"/>
            </w:pPr>
            <w:r>
              <w:rPr>
                <w:color w:val="000000"/>
                <w:sz w:val="21"/>
              </w:rPr>
              <w:t>1、材质:机械切缝拆除水泥混凝土路面</w:t>
            </w:r>
            <w:r>
              <w:br/>
            </w:r>
            <w:r>
              <w:rPr>
                <w:color w:val="000000"/>
                <w:sz w:val="21"/>
              </w:rPr>
              <w:t>2、厚度:150mm</w:t>
            </w:r>
            <w:r>
              <w:br/>
            </w:r>
            <w:r>
              <w:rPr>
                <w:color w:val="000000"/>
                <w:sz w:val="21"/>
              </w:rPr>
              <w:t>3、废料弃置：外运、运距综合</w:t>
            </w:r>
          </w:p>
        </w:tc>
        <w:tc>
          <w:tcPr>
            <w:tcW w:type="dxa" w:w="925"/>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80.81</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采购包1（东成镇古院第三小组屋前和古院街后排沟渠治理工程）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★自合同签订生效之日起180天内完成</w:t>
            </w:r>
          </w:p>
        </w:tc>
      </w:tr>
      <w:tr>
        <w:tc>
          <w:tcPr>
            <w:tcW w:type="dxa" w:w="4153"/>
          </w:tcPr>
          <w:p>
            <w:r>
              <w:rPr/>
              <w:t>标的提供的地点</w:t>
            </w:r>
          </w:p>
        </w:tc>
        <w:tc>
          <w:tcPr>
            <w:tcW w:type="dxa" w:w="4153"/>
          </w:tcPr>
          <w:p/>
          <w:p>
            <w:r>
              <w:rPr/>
              <w:t>东成镇古院第三小组屋前和古院街</w:t>
            </w:r>
          </w:p>
        </w:tc>
      </w:tr>
      <w:tr>
        <w:tc>
          <w:tcPr>
            <w:tcW w:type="dxa" w:w="4153"/>
          </w:tcPr>
          <w:p>
            <w:r>
              <w:rPr/>
              <w:t>付款方式</w:t>
            </w:r>
          </w:p>
        </w:tc>
        <w:tc>
          <w:tcPr>
            <w:tcW w:type="dxa" w:w="4153"/>
          </w:tcPr>
          <w:p/>
          <w:p/>
          <w:p>
            <w:r>
              <w:rPr/>
              <w:t>1期：支付比例50%,★项目完成工程量的60%后支付合同总价的50%；</w:t>
            </w:r>
          </w:p>
          <w:p/>
          <w:p>
            <w:r>
              <w:rPr/>
              <w:t>2期：支付比例45%,★项目竣工验收合格后支付至合同总价的95%；</w:t>
            </w:r>
          </w:p>
          <w:p/>
          <w:p>
            <w:r>
              <w:rPr/>
              <w:t>3期：支付比例5%,★余下合同总价5%的款项在验收合格后一年内支付完毕。</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售后服务及其他要求，（1）供应商须对项目实施提供必要的技术支持和服务保证。 ★（2）供应商须提供不少于1年的保修期，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 （2）供应商须严格按照施工技术要求进行报价，报价包含项目前期调研费、现场勘察费、资料收集费、分部分项工程费、措施项目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（1）项目完成时间：自合同签订生效之日起180天内完成。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r>
              <w:rPr/>
              <w:t>★</w:t>
            </w:r>
          </w:p>
        </w:tc>
        <w:tc>
          <w:tcPr>
            <w:tcW w:type="dxa" w:w="2076"/>
          </w:tcPr>
          <w:p>
            <w:pPr>
              <w:jc w:val="center"/>
            </w:pPr>
            <w:r>
              <w:rPr/>
              <w:t>5</w:t>
            </w:r>
          </w:p>
        </w:tc>
        <w:tc>
          <w:tcPr>
            <w:tcW w:type="dxa" w:w="2076"/>
          </w:tcPr>
          <w:p>
            <w:pPr>
              <w:jc w:val="left"/>
            </w:pPr>
            <w:r>
              <w:rPr/>
              <w:t>付款方式</w:t>
            </w:r>
          </w:p>
        </w:tc>
        <w:tc>
          <w:tcPr>
            <w:tcW w:type="dxa" w:w="2076"/>
          </w:tcPr>
          <w:p>
            <w:pPr>
              <w:jc w:val="left"/>
            </w:pPr>
            <w:r>
              <w:rPr/>
              <w:t>（1）工程费结算方式为固定总价承包（即中标价（成交价）为工程费结算价）。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 （4）因采购人使用的是财政资金，采购人在前款规定的付款时间为向政府采购支付部门提出办理财政支付申请手续的时间（不含政府财政部门审核的时间），在规定时间内提出支付申请手续后即视为采购人已经按期支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其他市政工程施工</w:t>
            </w:r>
          </w:p>
        </w:tc>
        <w:tc>
          <w:tcPr>
            <w:tcW w:type="dxa" w:w="933"/>
          </w:tcPr>
          <w:p>
            <w:pPr>
              <w:jc w:val="left"/>
            </w:pPr>
            <w:r>
              <w:rPr/>
              <w:t>东成镇古院第三小组屋前和古院街后排沟渠治理工程施工</w:t>
            </w:r>
          </w:p>
        </w:tc>
        <w:tc>
          <w:tcPr>
            <w:tcW w:type="dxa" w:w="933"/>
          </w:tcPr>
          <w:p>
            <w:pPr>
              <w:jc w:val="left"/>
            </w:pPr>
            <w:r>
              <w:rPr/>
              <w:t>项</w:t>
            </w:r>
          </w:p>
        </w:tc>
        <w:tc>
          <w:tcPr>
            <w:tcW w:type="dxa" w:w="933"/>
          </w:tcPr>
          <w:p>
            <w:pPr>
              <w:jc w:val="right"/>
            </w:pPr>
            <w:r>
              <w:rPr/>
              <w:t>1.00</w:t>
            </w:r>
          </w:p>
        </w:tc>
        <w:tc>
          <w:tcPr>
            <w:tcW w:type="dxa" w:w="933"/>
          </w:tcPr>
          <w:p>
            <w:pPr>
              <w:jc w:val="right"/>
            </w:pPr>
            <w:r>
              <w:rPr/>
              <w:t>1,092,794.68</w:t>
            </w:r>
          </w:p>
        </w:tc>
        <w:tc>
          <w:tcPr>
            <w:tcW w:type="dxa" w:w="933"/>
          </w:tcPr>
          <w:p>
            <w:pPr>
              <w:jc w:val="right"/>
            </w:pPr>
            <w:r>
              <w:rPr/>
              <w:t>1,092,794.68</w:t>
            </w:r>
          </w:p>
        </w:tc>
        <w:tc>
          <w:tcPr>
            <w:tcW w:type="dxa" w:w="840"/>
          </w:tcPr>
          <w:p>
            <w:r>
              <w:rPr/>
              <w:t>建筑业</w:t>
            </w:r>
          </w:p>
        </w:tc>
        <w:tc>
          <w:tcPr>
            <w:tcW w:type="dxa" w:w="933"/>
          </w:tcPr>
          <w:p>
            <w:r>
              <w:rPr/>
              <w:t>详见附表一</w:t>
            </w:r>
          </w:p>
        </w:tc>
      </w:tr>
    </w:tbl>
    <w:p/>
    <w:p>
      <w:r>
        <w:rPr>
          <w:b/>
        </w:rPr>
        <w:t>附表</w:t>
      </w:r>
      <w:r>
        <w:rPr>
          <w:b/>
        </w:rPr>
        <w:t>一</w:t>
      </w:r>
      <w:r>
        <w:rPr>
          <w:b/>
        </w:rPr>
        <w:t>：</w:t>
      </w:r>
      <w:r>
        <w:rPr>
          <w:b/>
        </w:rPr>
        <w:t>东成镇古院第三小组屋前和古院街后排沟渠治理工程施工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本项目中：供应商须负责整个项目所有的施工任务，包括材料设备的采购、施工、保护及保修，不论是永久性质的或是临时性质的</w:t>
            </w:r>
            <w:r>
              <w:rPr>
                <w:sz w:val="21"/>
              </w:rPr>
              <w:t>。</w:t>
            </w:r>
          </w:p>
          <w:p>
            <w:r>
              <w:rPr>
                <w:sz w:val="21"/>
              </w:rPr>
              <w:t>2）由于施工场地特殊，采购人不提供施工所需的临时食宿、办公、材料加工场地，均由成交供应商自行解决，其费用由成交供应商自理。</w:t>
            </w:r>
          </w:p>
          <w:p>
            <w:r>
              <w:rPr>
                <w:sz w:val="21"/>
              </w:rPr>
              <w:t>3）成交供应商自行解决施工临时用水、用电、通讯设施，相关费用已包含在响应报价内。</w:t>
            </w:r>
          </w:p>
          <w:p>
            <w:r>
              <w:rPr>
                <w:sz w:val="21"/>
              </w:rPr>
              <w:t>4）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成交供应商在施工时须对施工场地内的其它设备、设施有良好的保护措施</w:t>
            </w:r>
            <w:r>
              <w:rPr>
                <w:sz w:val="21"/>
              </w:rPr>
              <w:t>。</w:t>
            </w:r>
          </w:p>
          <w:p>
            <w:r>
              <w:rPr>
                <w:sz w:val="21"/>
              </w:rPr>
              <w:t>6）成交供应商一旦进场施工，须严格遵守采购人的各项规章制度，包括但不限于：</w:t>
            </w:r>
          </w:p>
          <w:p>
            <w:r>
              <w:rPr>
                <w:sz w:val="21"/>
              </w:rPr>
              <w:t>①在规定的地域施工和活动；</w:t>
            </w:r>
          </w:p>
          <w:p>
            <w:r>
              <w:rPr>
                <w:sz w:val="21"/>
              </w:rPr>
              <w:t>②项目负责人和管理人员须坚守岗位，因事需离开施工现场的，须提前向采购人请假，经采购人同意方可离开。</w:t>
            </w:r>
          </w:p>
          <w:p>
            <w:r>
              <w:rPr>
                <w:sz w:val="21"/>
              </w:rPr>
              <w:t>7）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新兴县东成镇人民政府（本级）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采购机构代理服务收费标准：按定额收取代理服务费（含税）：人民币壹万零叁佰元整（¥10300.00）。</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东成镇古院第三小组屋前和古院街后排沟渠治理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采购包1（东成镇古院第三小组屋前和古院街后排沟渠治理工程）：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采购包1（东成镇古院第三小组屋前和古院街后排沟渠治理工程）：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合同包1(东成镇古院第三小组屋前和古院街后排沟渠治理工程)特定资格要求如下: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采购包1（东成镇古院第三小组屋前和古院街后排沟渠治理工程）：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采购包1东成镇古院第三小组屋前和古院街后排沟渠治理工程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(12.0分)</w:t>
            </w:r>
            <w:r>
              <w:rPr/>
              <w:t>，（等次分值选择：</w:t>
            </w:r>
            <w:r>
              <w:rPr/>
              <w:t>0.0;</w:t>
            </w:r>
            <w:r>
              <w:rPr/>
              <w:t>3.0;</w:t>
            </w:r>
            <w:r>
              <w:rPr/>
              <w:t>6.0;</w:t>
            </w:r>
            <w:r>
              <w:rPr/>
              <w:t>9.0;</w:t>
            </w:r>
            <w:r>
              <w:rPr/>
              <w:t>12.0;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12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(10.0分)</w:t>
            </w:r>
            <w:r>
              <w:rPr/>
              <w:t>，（等次分值选择：</w:t>
            </w:r>
            <w:r>
              <w:rPr/>
              <w:t>0.0;</w:t>
            </w:r>
            <w:r>
              <w:rPr/>
              <w:t>2.5;</w:t>
            </w:r>
            <w:r>
              <w:rPr/>
              <w:t>5.0;</w:t>
            </w:r>
            <w:r>
              <w:rPr/>
              <w:t>7.5;</w:t>
            </w:r>
            <w:r>
              <w:rPr/>
              <w:t>10.0;</w:t>
            </w:r>
            <w:r>
              <w:rPr/>
              <w:t>）</w:t>
            </w:r>
          </w:p>
        </w:tc>
        <w:tc>
          <w:tcPr>
            <w:tcW w:type="dxa" w:w="5076"/>
          </w:tcPr>
          <w:p>
            <w:pPr>
              <w:jc w:val="left"/>
            </w:pPr>
            <w:r>
              <w:rPr/>
              <w:t>由磋商小组根据供应商提供的安全生产、文明施工与环境保护措施进行评审：措施周全、合理、可靠，管理制度完善，得10分；每出现一处相对弱势或瑕疵或欠缺的，扣2.5分，扣完为止；无提供方案的不得分。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1、项目负责人：具备市政公用工程专业二级或以上建造师注册证书并已取得安全生产考核合格证书B证（广东省外供应商的项目负责人必须具备一级建造师注册证书）的，得2分。 2、项目技术负责人：具备市政工程相关专业中级或以上职称的，得2分。 3、其他成员（同时配备①和②的，得4分；缺一人扣1分，扣完为止）：①专职安全员：具备安全生产考核合格证书（C证）；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(12.0分)</w:t>
            </w:r>
            <w:r>
              <w:rPr/>
              <w:t>，（等次分值选择：</w:t>
            </w:r>
            <w:r>
              <w:rPr/>
              <w:t>0.0;</w:t>
            </w:r>
            <w:r>
              <w:rPr/>
              <w:t>1.5;</w:t>
            </w:r>
            <w:r>
              <w:rPr/>
              <w:t>3.0;</w:t>
            </w:r>
            <w:r>
              <w:rPr/>
              <w:t>4.5;</w:t>
            </w:r>
            <w:r>
              <w:rPr/>
              <w:t>6.0;</w:t>
            </w:r>
            <w:r>
              <w:rPr/>
              <w:t>7.5;</w:t>
            </w:r>
            <w:r>
              <w:rPr/>
              <w:t>9.0;</w:t>
            </w:r>
            <w:r>
              <w:rPr/>
              <w:t>10.5;</w:t>
            </w:r>
            <w:r>
              <w:rPr/>
              <w:t>12.0;</w:t>
            </w:r>
            <w:r>
              <w:rPr/>
              <w:t>）</w:t>
            </w:r>
          </w:p>
        </w:tc>
        <w:tc>
          <w:tcPr>
            <w:tcW w:type="dxa" w:w="5076"/>
          </w:tcPr>
          <w:p>
            <w:pPr>
              <w:jc w:val="left"/>
            </w:pPr>
            <w:r>
              <w:rPr/>
              <w:t>供应商自2021年以来（以合同签订时间为准）承接的市政工程施工类项目业绩：每提供1个得1.5分，本项最高得12分。 【备注：响应文件中须提供合同关键页复印件，不提供不得分。】</w:t>
            </w:r>
          </w:p>
        </w:tc>
      </w:tr>
      <w:tr>
        <w:tc>
          <w:tcPr>
            <w:tcW w:type="dxa" w:w="922"/>
            <w:gridSpan w:val="2"/>
            <w:vMerge/>
          </w:tcPr>
          <w:p/>
        </w:tc>
        <w:tc>
          <w:tcPr>
            <w:tcW w:type="dxa" w:w="2307"/>
          </w:tcPr>
          <w:p>
            <w:pPr>
              <w:jc w:val="left"/>
            </w:pPr>
            <w:r>
              <w:rPr/>
              <w:t>体系认证 (6.0分)</w:t>
            </w:r>
            <w:r>
              <w:rPr/>
              <w:t>，（等次分值选择：</w:t>
            </w:r>
            <w:r>
              <w:rPr/>
              <w:t>0.0;</w:t>
            </w:r>
            <w:r>
              <w:rPr/>
              <w:t>2.0;</w:t>
            </w:r>
            <w:r>
              <w:rPr/>
              <w:t>4.0;</w:t>
            </w:r>
            <w:r>
              <w:rPr/>
              <w:t>6.0;</w:t>
            </w:r>
            <w:r>
              <w:rPr/>
              <w:t>）</w:t>
            </w:r>
          </w:p>
        </w:tc>
        <w:tc>
          <w:tcPr>
            <w:tcW w:type="dxa" w:w="5076"/>
          </w:tcPr>
          <w:p>
            <w:pPr>
              <w:jc w:val="left"/>
            </w:pPr>
            <w:r>
              <w:rPr/>
              <w:t>供应商具有有效的质量管理体系认证证书、环境管理体系认证证书和职业健康安全管理体系认证证书的：每提供1个得2分，本项最高得6分。 【备注：响应文件中须提供认证证书复印件，不提供不得分。】</w:t>
            </w:r>
          </w:p>
        </w:tc>
      </w:tr>
      <w:tr>
        <w:tc>
          <w:tcPr>
            <w:tcW w:type="dxa" w:w="922"/>
            <w:gridSpan w:val="2"/>
            <w:vMerge/>
          </w:tcPr>
          <w:p/>
        </w:tc>
        <w:tc>
          <w:tcPr>
            <w:tcW w:type="dxa" w:w="2307"/>
          </w:tcPr>
          <w:p>
            <w:pPr>
              <w:jc w:val="left"/>
            </w:pPr>
            <w:r>
              <w:rPr/>
              <w:t>服务机构便利性 (4.0分)</w:t>
            </w:r>
            <w:r>
              <w:rPr/>
              <w:t>，（等次分值选择：</w:t>
            </w:r>
            <w:r>
              <w:rPr/>
              <w:t>0.0;</w:t>
            </w:r>
            <w:r>
              <w:rPr/>
              <w:t>1.0;</w:t>
            </w:r>
            <w:r>
              <w:rPr/>
              <w:t>2.0;</w:t>
            </w:r>
            <w:r>
              <w:rPr/>
              <w:t>4.0;</w:t>
            </w:r>
            <w:r>
              <w:rPr/>
              <w:t>）</w:t>
            </w:r>
          </w:p>
        </w:tc>
        <w:tc>
          <w:tcPr>
            <w:tcW w:type="dxa" w:w="5076"/>
          </w:tcPr>
          <w:p>
            <w:pPr>
              <w:jc w:val="left"/>
            </w:pPr>
            <w:r>
              <w:rPr/>
              <w:t>为保证服务响应时效，由磋商小组对供应商服务机构的便利性进行评审： （1）距离≤60公里的，得4分； （2）60公里＜距离≤160公里的，得2分； （3）160公里＜距离≤260公里的，得1分； （4）距离＞260公里的，不得分。 【备注：以供应商服务机构营业执照地址到项目地址（东成镇古院）的距离为准，响应文件中须同时提供服务机构营业执照复印件和百度地图距离查询截图，不提供不得分。】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w:t>
      </w:r>
      <w:r>
        <w:rPr>
          <w:b/>
          <w:sz w:val="21"/>
        </w:rPr>
        <w:t>磋商</w:t>
      </w:r>
      <w:r>
        <w:rPr>
          <w:b/>
          <w:sz w:val="21"/>
        </w:rPr>
        <w:t>文件的要求及响应文件的承诺进行修订。</w:t>
      </w:r>
    </w:p>
    <w:p>
      <w:r>
        <w:rPr>
          <w:b/>
          <w:sz w:val="21"/>
        </w:rPr>
        <w:t>2、根据《关于印发&lt;政府采购促进中小企业发展管理办法&gt;的通知》（财库〔2020〕46号），本合同为中小企业预留合同。</w:t>
      </w:r>
    </w:p>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t xml:space="preserve"> </w:t>
      </w:r>
    </w:p>
    <w:p>
      <w:pPr>
        <w:jc w:val="center"/>
      </w:pPr>
      <w:r>
        <w:rPr/>
        <w:t xml:space="preserve"> </w:t>
      </w:r>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w:t>
      </w:r>
      <w:r>
        <w:rPr>
          <w:sz w:val="21"/>
        </w:rPr>
        <w:t>详见承包人的投标报价书（招标工程）；</w:t>
      </w:r>
    </w:p>
    <w:p>
      <w:pPr>
        <w:ind w:firstLine="1470"/>
      </w:pPr>
      <w:r>
        <w:rPr>
          <w:sz w:val="21"/>
        </w:rPr>
        <w:t>□</w:t>
      </w:r>
      <w:r>
        <w:rPr>
          <w:sz w:val="21"/>
        </w:rPr>
        <w:t>详见经确认的工程量清单报价单或施工图预算书（非招标工程）。</w:t>
      </w:r>
    </w:p>
    <w:p>
      <w:r>
        <w:rPr>
          <w:sz w:val="21"/>
        </w:rPr>
        <w:t>注：</w:t>
      </w:r>
      <w:r>
        <w:rPr>
          <w:sz w:val="21"/>
        </w:rPr>
        <w:t>工程费结算方式为固定总价承包（即中标价（成交价）为工程费结算价）。</w:t>
      </w:r>
    </w:p>
    <w:p>
      <w:pPr>
        <w:ind w:firstLine="420"/>
      </w:pPr>
    </w:p>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10天内</w:t>
      </w:r>
    </w:p>
    <w:p>
      <w:pPr>
        <w:ind w:firstLine="420"/>
      </w:pPr>
      <w:r>
        <w:rPr>
          <w:sz w:val="21"/>
        </w:rPr>
        <w:t>（</w:t>
      </w:r>
      <w:r>
        <w:rPr>
          <w:sz w:val="21"/>
        </w:rPr>
        <w:t>2）施工设计图纸提供的数量：</w:t>
      </w:r>
      <w:r>
        <w:rPr>
          <w:b/>
          <w:sz w:val="21"/>
          <w:u w:val="single"/>
        </w:rPr>
        <w:t>提供</w:t>
      </w:r>
      <w:r>
        <w:rPr>
          <w:b/>
          <w:sz w:val="21"/>
          <w:u w:val="single"/>
        </w:rPr>
        <w:t>4套图纸及一份地质资料</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10天内。</w:t>
      </w:r>
    </w:p>
    <w:p>
      <w:pPr>
        <w:ind w:firstLine="420"/>
      </w:pPr>
      <w:r>
        <w:rPr>
          <w:sz w:val="21"/>
        </w:rPr>
        <w:t>（</w:t>
      </w:r>
      <w:r>
        <w:rPr>
          <w:sz w:val="21"/>
        </w:rPr>
        <w:t>5）办理有关所需证件的约定：</w:t>
      </w:r>
      <w:r>
        <w:rPr>
          <w:b/>
          <w:sz w:val="21"/>
          <w:u w:val="single"/>
        </w:rPr>
        <w:t>合同签订后</w:t>
      </w:r>
      <w:r>
        <w:rPr>
          <w:b/>
          <w:sz w:val="21"/>
          <w:u w:val="single"/>
        </w:rPr>
        <w:t>10天内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合同签订后</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w:t>
      </w:r>
      <w:r>
        <w:rPr>
          <w:sz w:val="21"/>
          <w:u w:val="single"/>
        </w:rPr>
        <w:t>项目完成工程量的</w:t>
      </w:r>
      <w:r>
        <w:rPr>
          <w:sz w:val="21"/>
          <w:u w:val="single"/>
        </w:rPr>
        <w:t>60%后支付合同总价的50%</w:t>
      </w:r>
      <w:r>
        <w:rPr>
          <w:sz w:val="21"/>
          <w:u w:val="single"/>
        </w:rPr>
        <w:t>；</w:t>
      </w:r>
    </w:p>
    <w:p>
      <w:pPr>
        <w:ind w:firstLine="420"/>
      </w:pPr>
      <w:r>
        <w:rPr>
          <w:sz w:val="21"/>
          <w:u w:val="single"/>
        </w:rPr>
        <w:t>②</w:t>
      </w:r>
      <w:r>
        <w:rPr>
          <w:sz w:val="21"/>
          <w:u w:val="single"/>
        </w:rPr>
        <w:t>项目竣工验收合格后支付至合同总价的</w:t>
      </w:r>
      <w:r>
        <w:rPr>
          <w:sz w:val="21"/>
          <w:u w:val="single"/>
        </w:rPr>
        <w:t>95%</w:t>
      </w:r>
      <w:r>
        <w:rPr>
          <w:sz w:val="21"/>
          <w:u w:val="single"/>
        </w:rPr>
        <w:t>；</w:t>
      </w:r>
    </w:p>
    <w:p>
      <w:pPr>
        <w:ind w:firstLine="420"/>
      </w:pPr>
      <w:r>
        <w:rPr>
          <w:sz w:val="21"/>
          <w:u w:val="single"/>
        </w:rPr>
        <w:t>③</w:t>
      </w:r>
      <w:r>
        <w:rPr>
          <w:sz w:val="21"/>
          <w:u w:val="single"/>
        </w:rPr>
        <w:t>余下合同总价</w:t>
      </w:r>
      <w:r>
        <w:rPr>
          <w:sz w:val="21"/>
          <w:u w:val="single"/>
        </w:rPr>
        <w:t>5%的款项在验收合格后一年内支付完毕</w:t>
      </w:r>
      <w:r>
        <w:rPr>
          <w:sz w:val="21"/>
          <w:u w:val="single"/>
        </w:rPr>
        <w:t>。</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 xml:space="preserve"> </w:t>
      </w:r>
      <w:r>
        <w:rPr>
          <w:b/>
          <w:sz w:val="21"/>
          <w:u w:val="single"/>
        </w:rPr>
        <w:t>1</w:t>
      </w:r>
      <w:r>
        <w:rPr>
          <w:b/>
          <w:sz w:val="21"/>
          <w:u w:val="single"/>
        </w:rPr>
        <w:t xml:space="preserve"> </w:t>
      </w:r>
      <w:r>
        <w:rPr>
          <w:b/>
          <w:sz w:val="21"/>
          <w:u w:val="single"/>
        </w:rPr>
        <w:t>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w:t>
      </w:r>
      <w:r>
        <w:rPr>
          <w:sz w:val="21"/>
        </w:rPr>
        <w:t xml:space="preserve"> </w:t>
      </w:r>
      <w:r>
        <w:rPr>
          <w:sz w:val="21"/>
        </w:rPr>
        <w:t>市级质量奖，合同价款的</w:t>
      </w:r>
      <w:r>
        <w:rPr>
          <w:sz w:val="21"/>
        </w:rPr>
        <w:t>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w:t>
      </w:r>
      <w:r>
        <w:rPr>
          <w:sz w:val="21"/>
        </w:rPr>
        <w:t xml:space="preserve"> </w:t>
      </w:r>
      <w:r>
        <w:rPr>
          <w:sz w:val="21"/>
        </w:rPr>
        <w:t>工程变更；</w:t>
      </w:r>
    </w:p>
    <w:p>
      <w:pPr>
        <w:ind w:firstLine="420"/>
      </w:pPr>
      <w:r>
        <w:rPr>
          <w:sz w:val="21"/>
        </w:rPr>
        <w:t>□ 物价及后继法律法规的变化；</w:t>
      </w:r>
    </w:p>
    <w:p>
      <w:pPr>
        <w:ind w:firstLine="420"/>
      </w:pPr>
      <w:r>
        <w:rPr>
          <w:sz w:val="21"/>
        </w:rPr>
        <w:t>□</w:t>
      </w:r>
      <w:r>
        <w:rPr>
          <w:sz w:val="21"/>
        </w:rPr>
        <w:t xml:space="preserve"> </w:t>
      </w:r>
      <w:r>
        <w:rPr>
          <w:sz w:val="21"/>
        </w:rPr>
        <w:t>费用索赔事件或发包人负责的其他情况；</w:t>
      </w:r>
    </w:p>
    <w:p>
      <w:pPr>
        <w:ind w:firstLine="420"/>
      </w:pPr>
      <w:r>
        <w:rPr>
          <w:sz w:val="21"/>
        </w:rPr>
        <w:t>□ 工程造价管理机构发布的造价调整；</w:t>
      </w:r>
    </w:p>
    <w:p>
      <w:pPr>
        <w:ind w:firstLine="420"/>
      </w:pPr>
      <w:r>
        <w:rPr>
          <w:sz w:val="21"/>
        </w:rPr>
        <w:t>□</w:t>
      </w:r>
      <w:r>
        <w:rPr>
          <w:sz w:val="21"/>
        </w:rPr>
        <w:t xml:space="preserve"> </w:t>
      </w:r>
      <w:r>
        <w:rPr>
          <w:sz w:val="21"/>
        </w:rPr>
        <w:t>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w:t>
      </w:r>
      <w:r>
        <w:rPr>
          <w:sz w:val="21"/>
        </w:rPr>
        <w:t>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 xml:space="preserve"> </w:t>
      </w:r>
      <w:r>
        <w:rPr>
          <w:b/>
          <w:sz w:val="21"/>
          <w:u w:val="single"/>
        </w:rPr>
        <w:t xml:space="preserve">         </w:t>
      </w:r>
      <w:r>
        <w:rPr>
          <w:b/>
          <w:sz w:val="21"/>
          <w:u w:val="single"/>
        </w:rPr>
        <w:t xml:space="preserve"> </w:t>
      </w:r>
      <w:r>
        <w:rPr>
          <w:sz w:val="21"/>
        </w:rPr>
        <w:t>。</w:t>
      </w:r>
    </w:p>
    <w:p>
      <w:r>
        <w:rPr>
          <w:sz w:val="21"/>
        </w:rPr>
        <w:t>79.2  预付款支付申请的约定：</w:t>
      </w:r>
      <w:r>
        <w:rPr>
          <w:b/>
          <w:sz w:val="21"/>
          <w:u w:val="single"/>
        </w:rPr>
        <w:t xml:space="preserve">                    </w:t>
      </w:r>
    </w:p>
    <w:p>
      <w:r>
        <w:rPr>
          <w:sz w:val="21"/>
        </w:rPr>
        <w:t>79.</w:t>
      </w:r>
      <w:r>
        <w:rPr>
          <w:sz w:val="21"/>
        </w:rPr>
        <w:t>3</w:t>
      </w:r>
      <w:r>
        <w:rPr>
          <w:sz w:val="21"/>
        </w:rPr>
        <w:t xml:space="preserve">  </w:t>
      </w:r>
      <w:r>
        <w:rPr>
          <w:sz w:val="21"/>
        </w:rPr>
        <w:t>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r>
        <w:rPr>
          <w:b/>
          <w:sz w:val="21"/>
          <w:u w:val="single"/>
        </w:rPr>
        <w:t>安全生产文明施工措施费（按承包人投标报价费用）分阶段划拨，承包人应当根据不同阶段对安全生产、文明施工的要求采取相应的措施，由监理单位签署验收意见，经工程建设安全监督机构（以下简称安监机构）阶段安全评价合格后，发包人在一周内划拨给承包人；阶段安全评价不合格者，发包人不再划拨安全生产文明施工措施费给承包人，待整改合格后，方才继续划拨。分阶段拨付安全文明施工措施费的比例如下：</w:t>
      </w:r>
    </w:p>
    <w:p>
      <w:pPr>
        <w:ind w:firstLine="201"/>
      </w:pPr>
    </w:p>
    <w:tbl>
      <w:tblPr>
        <w:tblW w:w="0" w:type="auto"/>
        <w:tblBorders>
          <w:top w:val="none" w:color="000000" w:sz="4"/>
          <w:left w:val="none" w:color="000000" w:sz="4"/>
          <w:bottom w:val="none" w:color="000000" w:sz="4"/>
          <w:right w:val="none" w:color="000000" w:sz="4"/>
          <w:insideH w:val="none"/>
          <w:insideV w:val="none"/>
        </w:tblBorders>
      </w:tblPr>
      <w:tblGrid>
        <w:gridCol w:w="4906"/>
        <w:gridCol w:w="3400"/>
      </w:tblGrid>
      <w:tr>
        <w:tc>
          <w:tcPr>
            <w:tcW w:type="dxa" w:w="4906"/>
            <w:tcBorders>
              <w:top w:val="single" w:color="000000" w:sz="4"/>
              <w:left w:val="single" w:color="000000" w:sz="4"/>
              <w:bottom w:val="single" w:color="000000" w:sz="4"/>
              <w:right w:val="single" w:color="000000" w:sz="4"/>
            </w:tcBorders>
            <w:vAlign w:val="top"/>
          </w:tcPr>
          <w:p>
            <w:pPr>
              <w:jc w:val="center"/>
            </w:pPr>
            <w:r>
              <w:rPr>
                <w:sz w:val="21"/>
              </w:rPr>
              <w:t>施工阶段评价合格</w:t>
            </w:r>
          </w:p>
        </w:tc>
        <w:tc>
          <w:tcPr>
            <w:tcW w:type="dxa" w:w="3400"/>
            <w:tcBorders>
              <w:top w:val="single" w:color="000000" w:sz="4"/>
              <w:left w:val="single" w:color="000000" w:sz="4"/>
              <w:bottom w:val="single" w:color="000000" w:sz="4"/>
              <w:right w:val="single" w:color="000000" w:sz="4"/>
            </w:tcBorders>
            <w:vAlign w:val="top"/>
          </w:tcPr>
          <w:p>
            <w:pPr>
              <w:jc w:val="center"/>
            </w:pPr>
            <w:r>
              <w:rPr>
                <w:sz w:val="21"/>
              </w:rPr>
              <w:t>措施费划拨比例</w:t>
            </w:r>
          </w:p>
        </w:tc>
      </w:tr>
      <w:tr>
        <w:tc>
          <w:tcPr>
            <w:tcW w:type="dxa" w:w="4906"/>
            <w:tcBorders>
              <w:top w:val="none" w:color="000000" w:sz="4"/>
              <w:left w:val="single" w:color="000000" w:sz="4"/>
              <w:bottom w:val="single" w:color="000000" w:sz="4"/>
              <w:right w:val="single" w:color="000000" w:sz="4"/>
            </w:tcBorders>
            <w:vAlign w:val="top"/>
          </w:tcPr>
          <w:p>
            <w:r>
              <w:rPr>
                <w:sz w:val="21"/>
              </w:rPr>
              <w:t>施工准备评价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50%</w:t>
            </w:r>
          </w:p>
        </w:tc>
      </w:tr>
      <w:tr>
        <w:tc>
          <w:tcPr>
            <w:tcW w:type="dxa" w:w="4906"/>
            <w:tcBorders>
              <w:top w:val="none" w:color="000000" w:sz="4"/>
              <w:left w:val="single" w:color="000000" w:sz="4"/>
              <w:bottom w:val="single" w:color="000000" w:sz="4"/>
              <w:right w:val="single" w:color="000000" w:sz="4"/>
            </w:tcBorders>
            <w:vAlign w:val="top"/>
          </w:tcPr>
          <w:p>
            <w:r>
              <w:rPr>
                <w:sz w:val="21"/>
              </w:rPr>
              <w:t>达标评价（开工一个月或完成工程量</w:t>
            </w:r>
            <w:r>
              <w:rPr>
                <w:sz w:val="21"/>
              </w:rPr>
              <w:t>15%）</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40%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70%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竣工评价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20%</w:t>
            </w:r>
          </w:p>
        </w:tc>
      </w:tr>
    </w:tbl>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项目完成工程量的</w:t>
      </w:r>
      <w:r>
        <w:rPr>
          <w:sz w:val="21"/>
          <w:u w:val="single"/>
        </w:rPr>
        <w:t>60%后支付合同总价的50%</w:t>
      </w:r>
      <w:r>
        <w:rPr>
          <w:sz w:val="21"/>
          <w:u w:val="single"/>
        </w:rPr>
        <w:t>。</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项目竣工验收合格后支付至合同总价的</w:t>
      </w:r>
      <w:r>
        <w:rPr>
          <w:sz w:val="21"/>
          <w:u w:val="single"/>
        </w:rPr>
        <w:t>95%</w:t>
      </w:r>
      <w:r>
        <w:rPr>
          <w:sz w:val="21"/>
          <w:u w:val="single"/>
        </w:rPr>
        <w:t>，</w:t>
      </w:r>
      <w:r>
        <w:rPr>
          <w:sz w:val="21"/>
          <w:u w:val="single"/>
        </w:rPr>
        <w:t>余下合同总价</w:t>
      </w:r>
      <w:r>
        <w:rPr>
          <w:sz w:val="21"/>
          <w:u w:val="single"/>
        </w:rPr>
        <w:t>5%的款项在验收合格后一年内支付完毕</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其他：</w:t>
      </w:r>
      <w:r>
        <w:rPr>
          <w:sz w:val="21"/>
          <w:u w:val="single"/>
        </w:rPr>
        <w:t xml:space="preserve"> </w:t>
      </w:r>
      <w:r>
        <w:rPr>
          <w:sz w:val="21"/>
          <w:u w:val="single"/>
        </w:rPr>
        <w:t xml:space="preserve">          </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 xml:space="preserve">  </w:t>
      </w:r>
      <w:r>
        <w:rPr>
          <w:sz w:val="21"/>
          <w:u w:val="single"/>
        </w:rPr>
        <w:t xml:space="preserve">                    </w:t>
      </w:r>
      <w:r>
        <w:rPr>
          <w:sz w:val="21"/>
          <w:u w:val="single"/>
        </w:rPr>
        <w:t xml:space="preserve"> </w:t>
      </w:r>
      <w:r>
        <w:rPr>
          <w:sz w:val="21"/>
        </w:rPr>
        <w:t>。</w:t>
      </w:r>
    </w:p>
    <w:p>
      <w:r>
        <w:rPr>
          <w:sz w:val="21"/>
        </w:rPr>
        <w:t>84.3  质量保证金的返还时间：</w:t>
      </w:r>
      <w:r>
        <w:rPr>
          <w:sz w:val="21"/>
          <w:u w:val="single"/>
        </w:rPr>
        <w:t xml:space="preserve"> </w:t>
      </w:r>
      <w:r>
        <w:rPr>
          <w:sz w:val="21"/>
          <w:u w:val="single"/>
        </w:rPr>
        <w:t xml:space="preserve">                                     </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w:t>
      </w:r>
      <w:r>
        <w:rPr>
          <w:sz w:val="21"/>
        </w:rPr>
        <w:t xml:space="preserve"> </w:t>
      </w:r>
      <w:r>
        <w:rPr>
          <w:sz w:val="21"/>
        </w:rPr>
        <w:t>1</w:t>
      </w:r>
      <w:r>
        <w:rPr>
          <w:sz w:val="21"/>
        </w:rPr>
        <w:t xml:space="preserve"> </w:t>
      </w:r>
      <w:r>
        <w:rPr>
          <w:sz w:val="21"/>
        </w:rPr>
        <w:t>天内</w:t>
      </w:r>
      <w:r>
        <w:rPr>
          <w:sz w:val="21"/>
        </w:rPr>
        <w:t>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105"/>
        <w:jc w:val="center"/>
      </w:pPr>
    </w:p>
    <w:p/>
    <w:p>
      <w:pPr>
        <w:jc w:val="center"/>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445321-2022-02237</w:t>
      </w:r>
    </w:p>
    <w:p>
      <w:pPr>
        <w:jc w:val="center"/>
      </w:pPr>
      <w:r>
        <w:rPr>
          <w:b/>
          <w:sz w:val="24"/>
        </w:rPr>
        <w:t>采购项目编号：</w:t>
      </w:r>
      <w:r>
        <w:rPr>
          <w:b/>
          <w:sz w:val="24"/>
        </w:rPr>
        <w:t>YFZC22GC0161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东成镇古院第三小组屋前和古院街后排沟渠治理工程</w:t>
      </w:r>
      <w:r>
        <w:rPr>
          <w:u w:val="single"/>
        </w:rPr>
        <w:t>”</w:t>
      </w:r>
      <w:r>
        <w:rPr/>
        <w:t>项目的竞争性磋商[采购项目编号为：</w:t>
      </w:r>
      <w:r>
        <w:rPr>
          <w:u w:val="single"/>
        </w:rPr>
        <w:t>YFZC22GC0161</w:t>
      </w:r>
      <w:r>
        <w:rPr/>
        <w:t>]，我方愿参与响应。</w:t>
      </w:r>
    </w:p>
    <w:p>
      <w:pPr>
        <w:ind w:firstLine="480"/>
      </w:pPr>
      <w:r>
        <w:rPr/>
        <w:t>我方确认收到贵方提供的</w:t>
      </w:r>
      <w:r>
        <w:rPr>
          <w:u w:val="single"/>
        </w:rPr>
        <w:t>“</w:t>
      </w:r>
      <w:r>
        <w:rPr>
          <w:u w:val="single"/>
        </w:rPr>
        <w:t>东成镇古院第三小组屋前和古院街后排沟渠治理工程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东成镇古院第三小组屋前和古院街后排沟渠治理工程</w:t>
      </w:r>
      <w:r>
        <w:rPr/>
        <w:t>”项目采购[采购项目编号为</w:t>
      </w:r>
      <w:r>
        <w:rPr/>
        <w:t>YFZC22GC0161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新兴县东成镇人民政府（本级）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东成镇古院第三小组屋前和古院街后排沟渠治理工程</w:t>
      </w:r>
      <w:r>
        <w:rPr/>
        <w:t>（采购项目编号：</w:t>
      </w:r>
      <w:r>
        <w:rPr/>
        <w:t>YFZC22GC0161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东成镇古院第三小组屋前和古院街后排沟渠治理工程</w:t>
      </w:r>
      <w:r>
        <w:rPr/>
        <w:t>”项目（采购项目编号：</w:t>
      </w:r>
      <w:r>
        <w:rPr/>
        <w:t>YFZC22GC0161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