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445321-2022-02038</w:t>
      </w:r>
    </w:p>
    <w:p>
      <w:pPr>
        <w:jc w:val="center"/>
      </w:pPr>
      <w:r>
        <w:rPr>
          <w:b/>
          <w:sz w:val="24"/>
        </w:rPr>
        <w:t>采购项目编号：</w:t>
      </w:r>
      <w:r>
        <w:rPr>
          <w:b/>
          <w:sz w:val="24"/>
        </w:rPr>
        <w:t>YFZC22FC0150</w:t>
      </w:r>
    </w:p>
    <w:p>
      <w:pPr>
        <w:jc w:val="center"/>
      </w:pPr>
      <w:r>
        <w:rPr>
          <w:b/>
          <w:sz w:val="24"/>
        </w:rPr>
        <w:t>项目名称：</w:t>
      </w:r>
      <w:r>
        <w:rPr>
          <w:b/>
          <w:sz w:val="24"/>
        </w:rPr>
        <w:t>新兴县2021年居家和社区基本养老服务提升行动项目-居家养老上门服务</w:t>
      </w:r>
    </w:p>
    <w:p>
      <w:pPr>
        <w:jc w:val="center"/>
      </w:pPr>
      <w:r>
        <w:rPr>
          <w:b/>
          <w:sz w:val="24"/>
        </w:rPr>
        <w:t>采购人：</w:t>
      </w:r>
      <w:r>
        <w:rPr>
          <w:b/>
          <w:sz w:val="24"/>
        </w:rPr>
        <w:t>新兴县民政局</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新兴县民政局</w:t>
      </w:r>
      <w:r>
        <w:rPr/>
        <w:t>的委托，采用</w:t>
      </w:r>
      <w:r>
        <w:rPr/>
        <w:t>竞争性磋商</w:t>
      </w:r>
      <w:r>
        <w:rPr/>
        <w:t>方式组织采购</w:t>
      </w:r>
      <w:r>
        <w:rPr/>
        <w:t>新兴县2021年居家和社区基本养老服务提升行动项目-居家养老上门服务</w:t>
      </w:r>
      <w:r>
        <w:rPr/>
        <w:t>。欢迎符合资格条件的供应商参加。</w:t>
      </w:r>
    </w:p>
    <w:p>
      <w:r>
        <w:rPr>
          <w:b/>
          <w:sz w:val="28"/>
        </w:rPr>
        <w:t>一.项目概述</w:t>
      </w:r>
    </w:p>
    <w:p>
      <w:r>
        <w:rPr>
          <w:b/>
          <w:sz w:val="24"/>
        </w:rPr>
        <w:t>1.名称与编号</w:t>
      </w:r>
    </w:p>
    <w:p>
      <w:pPr>
        <w:ind w:firstLine="480"/>
      </w:pPr>
      <w:r>
        <w:rPr/>
        <w:t>采购项目名称：</w:t>
      </w:r>
      <w:r>
        <w:rPr/>
        <w:t>新兴县2021年居家和社区基本养老服务提升行动项目-居家养老上门服务</w:t>
      </w:r>
    </w:p>
    <w:p>
      <w:pPr>
        <w:ind w:firstLine="480"/>
      </w:pPr>
      <w:r>
        <w:rPr/>
        <w:t>采购计划编号：</w:t>
      </w:r>
      <w:r>
        <w:rPr/>
        <w:t>445321-2022-02038</w:t>
      </w:r>
    </w:p>
    <w:p>
      <w:pPr>
        <w:ind w:firstLine="480"/>
      </w:pPr>
      <w:r>
        <w:rPr/>
        <w:t>采购项目编号：</w:t>
      </w:r>
      <w:r>
        <w:rPr/>
        <w:t>YFZC22FC0150</w:t>
      </w:r>
    </w:p>
    <w:p>
      <w:pPr>
        <w:ind w:firstLine="480"/>
      </w:pPr>
      <w:r>
        <w:rPr/>
        <w:t>采购方式：</w:t>
      </w:r>
      <w:r>
        <w:rPr/>
        <w:t>竞争性磋商</w:t>
      </w:r>
    </w:p>
    <w:p>
      <w:pPr>
        <w:ind w:firstLine="480"/>
      </w:pPr>
      <w:r>
        <w:rPr/>
        <w:t>预算金额：</w:t>
      </w:r>
      <w:r>
        <w:rPr/>
        <w:t>1,584,000.00</w:t>
      </w:r>
      <w:r>
        <w:rPr/>
        <w:t>元</w:t>
      </w:r>
    </w:p>
    <w:p>
      <w:r>
        <w:rPr>
          <w:b/>
          <w:sz w:val="24"/>
        </w:rPr>
        <w:t>2.项目内容及需求情况（采购项目技术规格、参数及要求）</w:t>
      </w:r>
    </w:p>
    <w:p>
      <w:pPr>
        <w:ind w:firstLine="480"/>
      </w:pPr>
    </w:p>
    <w:p/>
    <w:p>
      <w:r>
        <w:rPr/>
        <w:t>采购包1(新兴县2021年居家和社区基本养老服务提升行动项目-居家养老上门服务):</w:t>
      </w:r>
    </w:p>
    <w:p>
      <w:r>
        <w:rPr/>
        <w:t>采购包预算金额：1,584,000.00元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其他社会服务</w:t>
            </w:r>
          </w:p>
        </w:tc>
        <w:tc>
          <w:tcPr>
            <w:tcW w:type="dxa" w:w="2052"/>
          </w:tcPr>
          <w:p>
            <w:r>
              <w:rPr/>
              <w:t>新兴县2021年居家和社区基本养老服务提升行动项目-居家养老上门服务</w:t>
            </w:r>
          </w:p>
        </w:tc>
        <w:tc>
          <w:tcPr>
            <w:tcW w:type="dxa" w:w="977"/>
          </w:tcPr>
          <w:p>
            <w:r>
              <w:rPr/>
              <w:t>5,280.0000( )</w:t>
            </w:r>
          </w:p>
        </w:tc>
        <w:tc>
          <w:tcPr>
            <w:tcW w:type="dxa" w:w="977"/>
          </w:tcPr>
          <w:p>
            <w:r>
              <w:rPr/>
              <w:t>详见第二章</w:t>
            </w:r>
          </w:p>
        </w:tc>
        <w:tc>
          <w:tcPr>
            <w:tcW w:type="dxa" w:w="977"/>
          </w:tcPr>
          <w:p>
            <w:r>
              <w:rPr/>
              <w:t>1,584,000.00</w:t>
            </w:r>
          </w:p>
        </w:tc>
        <w:tc>
          <w:tcPr>
            <w:tcW w:type="dxa" w:w="977"/>
          </w:tcPr>
          <w:p>
            <w:r>
              <w:rPr/>
              <w:t>否</w:t>
            </w:r>
          </w:p>
        </w:tc>
      </w:tr>
    </w:tbl>
    <w:p/>
    <w:p>
      <w:r>
        <w:rPr/>
        <w:t>本采购包不接受联合体响应</w:t>
      </w:r>
    </w:p>
    <w:p/>
    <w:p>
      <w:r>
        <w:rPr/>
        <w:t>合同履行期限：按照居家养老上门服务补助标准（300元/人•月）计算，当成交供应商完成440人（服务月数：12个月/人）的居家养老上门服务（即居家养老上门服务补助达到采购预算1584000.00元时），服务期终止。  其他补充说明：上表中的“数量：5,280.0000”根据本项目居家养老上门服务人数：440人（服务月数：12个月/人）计算所得。</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2）具有良好的商业信誉和健全的财务会计制度：提供2021年度财务报表或2022年任意一个月度/季度财务报表复印件（新成立的企业或提供基本户开户行出具的资信证明复印件）。</w:t>
      </w:r>
    </w:p>
    <w:p/>
    <w:p>
      <w:r>
        <w:rPr/>
        <w:t>3）履行合同所必需的设备和专业技术能力：在响应文件中提供声明函。</w:t>
      </w:r>
    </w:p>
    <w:p/>
    <w:p>
      <w:r>
        <w:rPr/>
        <w:t>4）有依法缴纳税收和社会保障资金的良好记录：提供投标截止日前六个月内任意一个月缴纳税收和社会保险的凭据复印件；依法免税或不需要缴纳社会保障资金的供应商应提供相关证明文件复印件。</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采购包1（新兴县2021年居家和社区基本养老服务提升行动项目-居家养老上门服务）：</w:t>
      </w:r>
      <w:r>
        <w:rPr/>
        <w:t>参与的供应商服务全部由符合政策要求的中小企业承接</w:t>
      </w:r>
    </w:p>
    <w:p/>
    <w:p>
      <w:r>
        <w:rPr>
          <w:b/>
          <w:sz w:val="24"/>
        </w:rPr>
        <w:t>3.本项目特定的资格要求：</w:t>
      </w:r>
    </w:p>
    <w:p>
      <w:pPr>
        <w:ind w:firstLine="480"/>
      </w:pPr>
    </w:p>
    <w:p/>
    <w:p>
      <w:r>
        <w:rPr/>
        <w:t>采购包1（新兴县2021年居家和社区基本养老服务提升行动项目-居家养老上门服务）：</w:t>
      </w:r>
    </w:p>
    <w:p/>
    <w:p>
      <w:r>
        <w:rPr/>
        <w:t>1)（1）供应商须具备法律、行政法规规定的其他条件：在响应文件中提供声明函。 （2）供应商须是在中华人民共和国境内注册的具备独立承担民事责任能力的法人或其它组织。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新兴县民政局</w:t>
      </w:r>
    </w:p>
    <w:p>
      <w:pPr>
        <w:ind w:firstLine="480"/>
      </w:pPr>
      <w:r>
        <w:rPr/>
        <w:t>地址：</w:t>
      </w:r>
      <w:r>
        <w:rPr/>
        <w:t>广东省云浮市新兴县城黄塘路10号</w:t>
      </w:r>
    </w:p>
    <w:p>
      <w:pPr>
        <w:ind w:firstLine="480"/>
      </w:pPr>
      <w:r>
        <w:rPr/>
        <w:t>联系方式：</w:t>
      </w:r>
      <w:r>
        <w:rPr/>
        <w:t>潘先生 0766-2882783</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简先生 0766-2922133</w:t>
      </w:r>
    </w:p>
    <w:p>
      <w:r>
        <w:rPr>
          <w:b/>
          <w:sz w:val="24"/>
        </w:rPr>
        <w:t>3.项目联系方式</w:t>
      </w:r>
    </w:p>
    <w:p>
      <w:pPr>
        <w:ind w:firstLine="480"/>
      </w:pPr>
      <w:r>
        <w:rPr/>
        <w:t>项目联系人：</w:t>
      </w:r>
      <w:r>
        <w:rPr/>
        <w:t>简先生</w:t>
      </w:r>
    </w:p>
    <w:p>
      <w:pPr>
        <w:ind w:firstLine="480"/>
      </w:pPr>
      <w:r>
        <w:rPr/>
        <w:t>电话：</w:t>
      </w:r>
      <w:r>
        <w:rPr/>
        <w:t>简先生 0766-2922133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w:t>
      </w:r>
      <w:r>
        <w:rPr>
          <w:b/>
          <w:sz w:val="22"/>
        </w:rPr>
        <w:t>背景</w:t>
      </w:r>
    </w:p>
    <w:p>
      <w:r>
        <w:rPr>
          <w:sz w:val="21"/>
        </w:rPr>
        <w:t xml:space="preserve">  为进一步贯彻实施《民政部关于进一步扩大养老服务供给促进养老服务消费的实施意见》（民发〔</w:t>
      </w:r>
      <w:r>
        <w:rPr>
          <w:sz w:val="21"/>
        </w:rPr>
        <w:t>2019〕88号）、《广东省人民政府办公厅关于印发广东省加快推进养老服务发展若干措施的通知》（民发〔2019〕23号）等有关文件精神，按照《财政部 民政部关于印发＜中央专项彩票公益金支持居家和社区基本养老服务提升行动项目资金管理办法＞的通知》（财社〔2021〕56号）、《民政部办公厅 财政部办公厅关于组织实施2021年居家和社区基本养老服务提升行动项目的通知》（民办函〔2021〕64号）的要求，在2020年开展家庭养老床位试点基础上，全面开展居家养老上门服务工作，进一步提升新兴县居家和社区基本养老服务水平，计划实施新兴县2021年居家和社区基本养老服务提升行动项目—居家养老上门服</w:t>
      </w:r>
      <w:r>
        <w:rPr>
          <w:sz w:val="21"/>
        </w:rPr>
        <w:t>务，选定</w:t>
      </w:r>
      <w:r>
        <w:rPr>
          <w:sz w:val="21"/>
        </w:rPr>
        <w:t>3</w:t>
      </w:r>
      <w:r>
        <w:rPr>
          <w:sz w:val="21"/>
        </w:rPr>
        <w:t>家第三</w:t>
      </w:r>
      <w:r>
        <w:rPr>
          <w:sz w:val="21"/>
        </w:rPr>
        <w:t>方专业服务机构实施本项目。</w:t>
      </w:r>
    </w:p>
    <w:p/>
    <w:p>
      <w:pPr>
        <w:ind w:firstLine="480"/>
      </w:pPr>
    </w:p>
    <w:p/>
    <w:p>
      <w:r>
        <w:rPr/>
        <w:t>采购包1（新兴县2021年居家和社区基本养老服务提升行动项目-居家养老上门服务）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★按照居家养老上门服务补助标准（300元/人•月）计算，当成交供应商完成440人（服务月数：12个月/人）的居家养老上门服务（即居家养老上门服务补助达到采购预算1584000.00元时），服务期终止。</w:t>
            </w:r>
          </w:p>
        </w:tc>
      </w:tr>
      <w:tr>
        <w:tc>
          <w:tcPr>
            <w:tcW w:type="dxa" w:w="4153"/>
          </w:tcPr>
          <w:p>
            <w:r>
              <w:rPr/>
              <w:t>标的提供的地点</w:t>
            </w:r>
          </w:p>
        </w:tc>
        <w:tc>
          <w:tcPr>
            <w:tcW w:type="dxa" w:w="4153"/>
          </w:tcPr>
          <w:p/>
          <w:p>
            <w:r>
              <w:rPr/>
              <w:t>云浮市新兴县</w:t>
            </w:r>
          </w:p>
        </w:tc>
      </w:tr>
      <w:tr>
        <w:tc>
          <w:tcPr>
            <w:tcW w:type="dxa" w:w="4153"/>
          </w:tcPr>
          <w:p>
            <w:r>
              <w:rPr/>
              <w:t>付款方式</w:t>
            </w:r>
          </w:p>
        </w:tc>
        <w:tc>
          <w:tcPr>
            <w:tcW w:type="dxa" w:w="4153"/>
          </w:tcPr>
          <w:p/>
          <w:p/>
          <w:p>
            <w:r>
              <w:rPr/>
              <w:t>1期：支付比例100%,★由采购人按下列程序付款：按季度付款，根据居家养老上门服务补助标准（300元/人•月）、实际接受居家养老上门服务的人数及实际服务月数按实结算。每季度结算金额＝居家养老上门服务补助标准（300元/人•月）×实际接受居家养老上门服务的人数×实际服务月数。每季度双方代表确认结算数据之后的7个工作日内，成交供应商提交与申请支付款项等额的发票，采购人办理支付手续，向成交供应商支付居家养老上门服务补助。</w:t>
            </w:r>
          </w:p>
        </w:tc>
      </w:tr>
      <w:tr>
        <w:tc>
          <w:tcPr>
            <w:tcW w:type="dxa" w:w="4153"/>
          </w:tcPr>
          <w:p>
            <w:r>
              <w:rPr/>
              <w:t>验收要求</w:t>
            </w:r>
          </w:p>
        </w:tc>
        <w:tc>
          <w:tcPr>
            <w:tcW w:type="dxa" w:w="4153"/>
          </w:tcPr>
          <w:p/>
          <w:p/>
          <w:p/>
          <w:p>
            <w:r>
              <w:rPr/>
              <w:t>1期：★（1）通过第三方机构对成交供应商开展居家养老上门服务进行监督评估。采购人依据《云浮市2021年居家和社区基本养老服务提升行动项目实施方案》（云民发〔2021〕78号）、合同等文件的规定要求，组织专业力量对居家养老上门服务项目进行验收，如发现存在质量问题，责令限期整改。拒不整改的，取消服务资格。 ★（2）所有验收文件、资料要提交给采购人以作留档备案。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其他要求，（1）供应商须有合法稳定的收入来源，具有与其业务范围相适应的居家养老管理人员和居家养老服务人员，有与其业务范围相适应的固定的经营场所、工作设备。 （2）成交供应商应当按照“专款专用、单独核算、注重绩效”的原则，建立健全内控制度、专项财务管理和会计核算制度。加强对项目资金的管理，将项目资金纳入单位财务统一管理，单独核算，便于追踪问效和监督检查。 （3）如服务对象出现人身伤亡和财产损失，经核实是由于成交供应商管理不当造成的，由成交供应商承担相应责任和负责赔偿，情节严重的采购人可依法追究其法律责任。 （4）成交供应商须严格遵守和执行《中华人民共和国老年人权益保障法》、《广东省养老服务条例》等相关政策规定。 （5）各成交供应商的服务区域须遵循采购人的调剂安排。在服务期限内，采购人不保证成交供应商具体承担的工作量，供应商参与本项目投标须事先预估因项目实施的不确定性而造成损失的风险。</w:t>
            </w: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根据《云浮市2021年居家和社区基本养老服务提升行动项目实施方案》，补助标准为300元/人•月，该人均补助标准为不可竞争费用，故该费用不列入招标投标竞争范围，供应商在报价时须按300元/人•月填报，无需下浮。</w:t>
            </w:r>
          </w:p>
        </w:tc>
      </w:tr>
      <w:tr>
        <w:tc>
          <w:tcPr>
            <w:tcW w:type="dxa" w:w="2076"/>
          </w:tcPr>
          <w:p>
            <w:pPr>
              <w:jc w:val="center"/>
            </w:pPr>
            <w:r>
              <w:rPr/>
              <w:t>★</w:t>
            </w:r>
          </w:p>
        </w:tc>
        <w:tc>
          <w:tcPr>
            <w:tcW w:type="dxa" w:w="2076"/>
          </w:tcPr>
          <w:p>
            <w:pPr>
              <w:jc w:val="center"/>
            </w:pPr>
            <w:r>
              <w:rPr/>
              <w:t>2</w:t>
            </w:r>
          </w:p>
        </w:tc>
        <w:tc>
          <w:tcPr>
            <w:tcW w:type="dxa" w:w="2076"/>
          </w:tcPr>
          <w:p>
            <w:pPr>
              <w:jc w:val="left"/>
            </w:pPr>
            <w:r>
              <w:rPr/>
              <w:t>付款方式</w:t>
            </w:r>
          </w:p>
        </w:tc>
        <w:tc>
          <w:tcPr>
            <w:tcW w:type="dxa" w:w="2076"/>
          </w:tcPr>
          <w:p>
            <w:pPr>
              <w:jc w:val="left"/>
            </w:pPr>
            <w:r>
              <w:rPr/>
              <w:t>（1）成交供应商凭以下有效文件向采购人申请支付： 1）合同； 2）成交供应商开具的正式发票； 3）验收报告； 4）成交通知书； 5）采购人要求提供的其它请款资料。 （2）付款方式：采用银行转账等形式。 （3）因采购人使用的是财政资金，采购人在前款规定的付款时间为向财政支付部门提出办理财政支付申请手续的时间（不含政府财政支付部门审核的时间），在规定时间内提出支付申请手续后即视为采购人已经按期支付。</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其他社会服务</w:t>
            </w:r>
          </w:p>
        </w:tc>
        <w:tc>
          <w:tcPr>
            <w:tcW w:type="dxa" w:w="933"/>
          </w:tcPr>
          <w:p>
            <w:pPr>
              <w:jc w:val="left"/>
            </w:pPr>
            <w:r>
              <w:rPr/>
              <w:t>新兴县2021年居家和社区基本养老服务提升行动项目-居家养老上门服务</w:t>
            </w:r>
          </w:p>
        </w:tc>
        <w:tc>
          <w:tcPr>
            <w:tcW w:type="dxa" w:w="933"/>
          </w:tcPr>
          <w:p>
            <w:pPr>
              <w:jc w:val="left"/>
            </w:pPr>
          </w:p>
        </w:tc>
        <w:tc>
          <w:tcPr>
            <w:tcW w:type="dxa" w:w="933"/>
          </w:tcPr>
          <w:p>
            <w:pPr>
              <w:jc w:val="right"/>
            </w:pPr>
            <w:r>
              <w:rPr/>
              <w:t>5,280.00</w:t>
            </w:r>
          </w:p>
        </w:tc>
        <w:tc>
          <w:tcPr>
            <w:tcW w:type="dxa" w:w="933"/>
          </w:tcPr>
          <w:p>
            <w:pPr>
              <w:jc w:val="right"/>
            </w:pPr>
            <w:r>
              <w:rPr/>
              <w:t>300.00</w:t>
            </w:r>
          </w:p>
        </w:tc>
        <w:tc>
          <w:tcPr>
            <w:tcW w:type="dxa" w:w="933"/>
          </w:tcPr>
          <w:p>
            <w:pPr>
              <w:jc w:val="right"/>
            </w:pPr>
            <w:r>
              <w:rPr/>
              <w:t>1,584,000.00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新兴县2021年居家和社区基本养老服务提升行动项目-居家养老上门服务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b/>
                <w:sz w:val="22"/>
              </w:rPr>
              <w:t>（</w:t>
            </w:r>
            <w:r>
              <w:rPr>
                <w:b/>
                <w:sz w:val="22"/>
              </w:rPr>
              <w:t>1</w:t>
            </w:r>
            <w:r>
              <w:rPr>
                <w:b/>
                <w:sz w:val="22"/>
              </w:rPr>
              <w:t>）项目实施内容</w:t>
            </w:r>
          </w:p>
          <w:p>
            <w:r>
              <w:rPr>
                <w:sz w:val="21"/>
              </w:rPr>
              <w:t>通过购买服务的方式，为服务对象提供助行、助餐、助穿、如厕、助洁、助浴、助医、康复、护理、巡访关爱等上门服务。（具体见附件）</w:t>
            </w:r>
          </w:p>
        </w:tc>
      </w:tr>
      <w:tr>
        <w:tc>
          <w:tcPr>
            <w:tcW w:type="dxa" w:w="2076"/>
          </w:tcPr>
          <w:p/>
        </w:tc>
        <w:tc>
          <w:tcPr>
            <w:tcW w:type="dxa" w:w="415"/>
          </w:tcPr>
          <w:p>
            <w:r>
              <w:rPr/>
              <w:t>2</w:t>
            </w:r>
          </w:p>
        </w:tc>
        <w:tc>
          <w:tcPr>
            <w:tcW w:type="dxa" w:w="5814"/>
          </w:tcPr>
          <w:p>
            <w:r>
              <w:rPr>
                <w:b/>
                <w:sz w:val="22"/>
              </w:rPr>
              <w:t>（</w:t>
            </w:r>
            <w:r>
              <w:rPr>
                <w:b/>
                <w:sz w:val="22"/>
              </w:rPr>
              <w:t>2</w:t>
            </w:r>
            <w:r>
              <w:rPr>
                <w:b/>
                <w:sz w:val="22"/>
              </w:rPr>
              <w:t>）项目服务对象</w:t>
            </w:r>
          </w:p>
          <w:p>
            <w:pPr>
              <w:ind w:firstLine="420"/>
            </w:pPr>
            <w:r>
              <w:rPr>
                <w:sz w:val="21"/>
              </w:rPr>
              <w:t>居家和社区基本养老服务提升行动项目服务对象为</w:t>
            </w:r>
            <w:r>
              <w:rPr>
                <w:sz w:val="21"/>
              </w:rPr>
              <w:t>60周岁（含60周岁）以上的经济困难失能、部分失能老年人，同时符合以下条件：</w:t>
            </w:r>
          </w:p>
          <w:p>
            <w:r>
              <w:rPr>
                <w:sz w:val="21"/>
              </w:rPr>
              <w:t>1</w:t>
            </w:r>
            <w:r>
              <w:rPr>
                <w:sz w:val="21"/>
              </w:rPr>
              <w:t>）</w:t>
            </w:r>
            <w:r>
              <w:rPr>
                <w:sz w:val="21"/>
              </w:rPr>
              <w:t>具有新兴县户籍并居住在本县行政区域内；</w:t>
            </w:r>
          </w:p>
          <w:p>
            <w:r>
              <w:rPr>
                <w:sz w:val="21"/>
              </w:rPr>
              <w:t>2</w:t>
            </w:r>
            <w:r>
              <w:rPr>
                <w:sz w:val="21"/>
              </w:rPr>
              <w:t>）</w:t>
            </w:r>
            <w:r>
              <w:rPr>
                <w:sz w:val="21"/>
              </w:rPr>
              <w:t>根据省统计局公布的</w:t>
            </w:r>
            <w:r>
              <w:rPr>
                <w:sz w:val="21"/>
              </w:rPr>
              <w:t>2020年度经济和社会发展统计公报，人均可支配年收入属于低收入组（12665.68元）、中间偏下组的人员（23627.34元）；</w:t>
            </w:r>
          </w:p>
          <w:p>
            <w:r>
              <w:rPr>
                <w:sz w:val="21"/>
              </w:rPr>
              <w:t>3</w:t>
            </w:r>
            <w:r>
              <w:rPr>
                <w:sz w:val="21"/>
              </w:rPr>
              <w:t>）</w:t>
            </w:r>
            <w:r>
              <w:rPr>
                <w:sz w:val="21"/>
              </w:rPr>
              <w:t>接受新兴县老年人能力评估等级评定，按照《长期护理失能等级评估标准（试行）》、《老年人能力评估标准》（</w:t>
            </w:r>
            <w:r>
              <w:rPr>
                <w:sz w:val="21"/>
              </w:rPr>
              <w:t>MZ/T 039-2013），等级评定为1至3级（轻度失能、中度失能、重度失能）。</w:t>
            </w:r>
          </w:p>
          <w:p>
            <w:pPr>
              <w:ind w:firstLine="420"/>
            </w:pPr>
            <w:r>
              <w:rPr>
                <w:sz w:val="21"/>
              </w:rPr>
              <w:t>服务对象建议优先选择城乡居家养老服务站点覆盖地区。中央专项彩票公益金支持的家庭养老床位补贴和居家养老上门服务补贴不得同时享受。</w:t>
            </w:r>
          </w:p>
        </w:tc>
      </w:tr>
      <w:tr>
        <w:tc>
          <w:tcPr>
            <w:tcW w:type="dxa" w:w="2076"/>
          </w:tcPr>
          <w:p/>
        </w:tc>
        <w:tc>
          <w:tcPr>
            <w:tcW w:type="dxa" w:w="415"/>
          </w:tcPr>
          <w:p>
            <w:r>
              <w:rPr/>
              <w:t>3</w:t>
            </w:r>
          </w:p>
        </w:tc>
        <w:tc>
          <w:tcPr>
            <w:tcW w:type="dxa" w:w="5814"/>
          </w:tcPr>
          <w:p>
            <w:r>
              <w:rPr>
                <w:b/>
                <w:sz w:val="22"/>
              </w:rPr>
              <w:t>（</w:t>
            </w:r>
            <w:r>
              <w:rPr>
                <w:b/>
                <w:sz w:val="22"/>
              </w:rPr>
              <w:t>3</w:t>
            </w:r>
            <w:r>
              <w:rPr>
                <w:b/>
                <w:sz w:val="22"/>
              </w:rPr>
              <w:t>）具体实施步骤</w:t>
            </w:r>
          </w:p>
          <w:p>
            <w:r>
              <w:rPr>
                <w:sz w:val="21"/>
              </w:rPr>
              <w:t>1</w:t>
            </w:r>
            <w:r>
              <w:rPr>
                <w:sz w:val="21"/>
              </w:rPr>
              <w:t>）</w:t>
            </w:r>
            <w:r>
              <w:rPr>
                <w:b/>
                <w:sz w:val="21"/>
              </w:rPr>
              <w:t>申请。</w:t>
            </w:r>
            <w:r>
              <w:rPr>
                <w:sz w:val="21"/>
              </w:rPr>
              <w:t>老年人通过云浮市居家和社区养老信息化服务平台网站向服务机构提交申请，或根据需求就近选择服务机构，向服务机构提出申请。所在地村（居）委会工作人员、社区居家养老服务站工作人员、双百社工服务站社工要主动上门服务，帮助老年人提交申请。</w:t>
            </w:r>
          </w:p>
          <w:p>
            <w:r>
              <w:rPr>
                <w:sz w:val="21"/>
              </w:rPr>
              <w:t>2</w:t>
            </w:r>
            <w:r>
              <w:rPr>
                <w:sz w:val="21"/>
              </w:rPr>
              <w:t>）</w:t>
            </w:r>
            <w:r>
              <w:rPr>
                <w:b/>
                <w:sz w:val="21"/>
              </w:rPr>
              <w:t>家访。</w:t>
            </w:r>
            <w:r>
              <w:rPr>
                <w:sz w:val="21"/>
              </w:rPr>
              <w:t>成交供应商入户走访，了解老年人的身体状况、生活状况、家居环境、上门服务意愿等情况。</w:t>
            </w:r>
          </w:p>
          <w:p>
            <w:r>
              <w:rPr>
                <w:sz w:val="21"/>
              </w:rPr>
              <w:t>3</w:t>
            </w:r>
            <w:r>
              <w:rPr>
                <w:sz w:val="21"/>
              </w:rPr>
              <w:t>）</w:t>
            </w:r>
            <w:r>
              <w:rPr>
                <w:b/>
                <w:sz w:val="21"/>
              </w:rPr>
              <w:t>评估。</w:t>
            </w:r>
            <w:r>
              <w:rPr>
                <w:sz w:val="21"/>
              </w:rPr>
              <w:t>对于需进行老年人能力评估的老年人，采购人安排评估机构按照本市老年人能力评估工作相关规定进行老年人能力评估。老年人已有老年人能力评估报告且报告在有效期内的，不再重复评估。</w:t>
            </w:r>
          </w:p>
          <w:p>
            <w:r>
              <w:rPr>
                <w:sz w:val="21"/>
              </w:rPr>
              <w:t>4）</w:t>
            </w:r>
            <w:r>
              <w:rPr>
                <w:b/>
                <w:sz w:val="21"/>
              </w:rPr>
              <w:t>签约。</w:t>
            </w:r>
            <w:r>
              <w:rPr>
                <w:sz w:val="21"/>
              </w:rPr>
              <w:t>成交供应商为老年人制定居家养老上门服务方案，签订服务协议。</w:t>
            </w:r>
          </w:p>
          <w:p>
            <w:r>
              <w:rPr>
                <w:sz w:val="21"/>
              </w:rPr>
              <w:t>5）</w:t>
            </w:r>
            <w:r>
              <w:rPr>
                <w:b/>
                <w:sz w:val="21"/>
              </w:rPr>
              <w:t>核实。</w:t>
            </w:r>
            <w:r>
              <w:rPr>
                <w:sz w:val="21"/>
              </w:rPr>
              <w:t>对于须申请居家养老上门服务资助的成交供应商，由采购人或其委托的第三方机构在</w:t>
            </w:r>
            <w:r>
              <w:rPr>
                <w:sz w:val="21"/>
              </w:rPr>
              <w:t>15个工作日内进行核实。</w:t>
            </w:r>
          </w:p>
          <w:p>
            <w:r>
              <w:rPr>
                <w:sz w:val="21"/>
              </w:rPr>
              <w:t>6）</w:t>
            </w:r>
            <w:r>
              <w:rPr>
                <w:b/>
                <w:sz w:val="21"/>
              </w:rPr>
              <w:t>服务。</w:t>
            </w:r>
            <w:r>
              <w:rPr>
                <w:sz w:val="21"/>
              </w:rPr>
              <w:t>成交供应商按服务方案安排服务人员为签约老年人提供上门服务。</w:t>
            </w:r>
          </w:p>
        </w:tc>
      </w:tr>
      <w:tr>
        <w:tc>
          <w:tcPr>
            <w:tcW w:type="dxa" w:w="2076"/>
          </w:tcPr>
          <w:p>
            <w:r>
              <w:rPr/>
              <w:t>★</w:t>
            </w:r>
          </w:p>
        </w:tc>
        <w:tc>
          <w:tcPr>
            <w:tcW w:type="dxa" w:w="415"/>
          </w:tcPr>
          <w:p>
            <w:r>
              <w:rPr/>
              <w:t>4</w:t>
            </w:r>
          </w:p>
        </w:tc>
        <w:tc>
          <w:tcPr>
            <w:tcW w:type="dxa" w:w="5814"/>
          </w:tcPr>
          <w:p>
            <w:r>
              <w:rPr>
                <w:b/>
                <w:sz w:val="22"/>
              </w:rPr>
              <w:t>（</w:t>
            </w:r>
            <w:r>
              <w:rPr>
                <w:b/>
                <w:sz w:val="22"/>
              </w:rPr>
              <w:t>4</w:t>
            </w:r>
            <w:r>
              <w:rPr>
                <w:b/>
                <w:sz w:val="22"/>
              </w:rPr>
              <w:t>）项目补助发放</w:t>
            </w:r>
          </w:p>
          <w:p>
            <w:pPr>
              <w:ind w:firstLine="420"/>
            </w:pPr>
            <w:r>
              <w:rPr>
                <w:sz w:val="21"/>
              </w:rPr>
              <w:t>政府对符合条件的经济困难失能、部分失能老年人居家养老上门服务进行补助，补助用于基本服务项目（可选服务项目自费），补助资金通过</w:t>
            </w:r>
            <w:r>
              <w:rPr>
                <w:sz w:val="21"/>
              </w:rPr>
              <w:t>“以奖代补”方式发放给成交供应商。</w:t>
            </w:r>
          </w:p>
          <w:p>
            <w:r>
              <w:rPr>
                <w:sz w:val="21"/>
              </w:rPr>
              <w:t>1）</w:t>
            </w:r>
            <w:r>
              <w:rPr>
                <w:b/>
                <w:sz w:val="21"/>
              </w:rPr>
              <w:t>补助标准。</w:t>
            </w:r>
            <w:r>
              <w:rPr>
                <w:sz w:val="21"/>
              </w:rPr>
              <w:t>300元/人•月</w:t>
            </w:r>
            <w:r>
              <w:rPr>
                <w:sz w:val="21"/>
              </w:rPr>
              <w:t>。</w:t>
            </w:r>
          </w:p>
          <w:p>
            <w:r>
              <w:rPr>
                <w:sz w:val="21"/>
              </w:rPr>
              <w:t>2）</w:t>
            </w:r>
            <w:r>
              <w:rPr>
                <w:b/>
                <w:sz w:val="21"/>
              </w:rPr>
              <w:t>补助条件。</w:t>
            </w:r>
            <w:r>
              <w:rPr>
                <w:sz w:val="21"/>
              </w:rPr>
              <w:t>成交供应商申请居家养老上门服务补助应当同时符合下列条件：</w:t>
            </w:r>
          </w:p>
          <w:p>
            <w:r>
              <w:rPr>
                <w:sz w:val="21"/>
              </w:rPr>
              <w:t>①</w:t>
            </w:r>
            <w:r>
              <w:rPr>
                <w:sz w:val="21"/>
              </w:rPr>
              <w:t>依法设立或备案；</w:t>
            </w:r>
          </w:p>
          <w:p>
            <w:r>
              <w:rPr>
                <w:sz w:val="21"/>
              </w:rPr>
              <w:t>②为老年人所提供的居家养老上门服务符合国家相关标准要求，服务对象满意率达到80%以上；</w:t>
            </w:r>
          </w:p>
          <w:p>
            <w:r>
              <w:rPr>
                <w:sz w:val="21"/>
              </w:rPr>
              <w:t>③</w:t>
            </w:r>
            <w:r>
              <w:rPr>
                <w:sz w:val="21"/>
              </w:rPr>
              <w:t>具有完整的居家养老上门服务资料，具体包括服务合同、老年人能力等级评估报告等。</w:t>
            </w:r>
          </w:p>
          <w:p>
            <w:r>
              <w:rPr>
                <w:sz w:val="21"/>
              </w:rPr>
              <w:t>3）</w:t>
            </w:r>
            <w:r>
              <w:rPr>
                <w:b/>
                <w:sz w:val="21"/>
              </w:rPr>
              <w:t>补助发放</w:t>
            </w:r>
          </w:p>
          <w:p>
            <w:r>
              <w:rPr>
                <w:sz w:val="21"/>
              </w:rPr>
              <w:t>①</w:t>
            </w:r>
            <w:r>
              <w:rPr>
                <w:sz w:val="21"/>
              </w:rPr>
              <w:t>成交供应商在每季度第</w:t>
            </w:r>
            <w:r>
              <w:rPr>
                <w:sz w:val="21"/>
              </w:rPr>
              <w:t>1个月向采购人申请上一季度的居家养老上门服务资助（逾期不予受理，顺延至下一季度）。</w:t>
            </w:r>
          </w:p>
          <w:p>
            <w:r>
              <w:rPr>
                <w:sz w:val="21"/>
              </w:rPr>
              <w:t>②</w:t>
            </w:r>
            <w:r>
              <w:rPr>
                <w:sz w:val="21"/>
              </w:rPr>
              <w:t>采购人应当在</w:t>
            </w:r>
            <w:r>
              <w:rPr>
                <w:sz w:val="21"/>
              </w:rPr>
              <w:t>10个工作日内进行初审。符合条件的，提交市民政部门审定。</w:t>
            </w:r>
          </w:p>
          <w:p>
            <w:r>
              <w:rPr>
                <w:sz w:val="21"/>
              </w:rPr>
              <w:t>③</w:t>
            </w:r>
            <w:r>
              <w:rPr>
                <w:sz w:val="21"/>
              </w:rPr>
              <w:t>市民政部门收到申请材料后，委托第三方机构在</w:t>
            </w:r>
            <w:r>
              <w:rPr>
                <w:sz w:val="21"/>
              </w:rPr>
              <w:t>15个工作日内对要件进行核实并对成交供应商进行实地核查，第三方机构签注意见后报市民政部门。</w:t>
            </w:r>
          </w:p>
          <w:p>
            <w:r>
              <w:rPr>
                <w:sz w:val="21"/>
              </w:rPr>
              <w:t>④</w:t>
            </w:r>
            <w:r>
              <w:rPr>
                <w:sz w:val="21"/>
              </w:rPr>
              <w:t>市民政部门在</w:t>
            </w:r>
            <w:r>
              <w:rPr>
                <w:sz w:val="21"/>
              </w:rPr>
              <w:t>15</w:t>
            </w:r>
            <w:r>
              <w:rPr>
                <w:sz w:val="21"/>
              </w:rPr>
              <w:t>个工作日内进行审定。符合资助条件的，由采购人给予资助；不符合资助条件的，签注意见后，退还成交供应商。</w:t>
            </w:r>
          </w:p>
        </w:tc>
      </w:tr>
      <w:tr>
        <w:tc>
          <w:tcPr>
            <w:tcW w:type="dxa" w:w="2076"/>
          </w:tcPr>
          <w:p>
            <w:r>
              <w:rPr/>
              <w:t>★</w:t>
            </w:r>
          </w:p>
        </w:tc>
        <w:tc>
          <w:tcPr>
            <w:tcW w:type="dxa" w:w="415"/>
          </w:tcPr>
          <w:p>
            <w:r>
              <w:rPr/>
              <w:t>5</w:t>
            </w:r>
          </w:p>
        </w:tc>
        <w:tc>
          <w:tcPr>
            <w:tcW w:type="dxa" w:w="5814"/>
          </w:tcPr>
          <w:p>
            <w:r>
              <w:rPr>
                <w:b/>
                <w:sz w:val="24"/>
              </w:rPr>
              <w:t>（</w:t>
            </w:r>
            <w:r>
              <w:rPr>
                <w:b/>
                <w:sz w:val="24"/>
              </w:rPr>
              <w:t>5</w:t>
            </w:r>
            <w:r>
              <w:rPr>
                <w:b/>
                <w:sz w:val="24"/>
              </w:rPr>
              <w:t>）</w:t>
            </w:r>
            <w:r>
              <w:rPr>
                <w:b/>
                <w:sz w:val="24"/>
              </w:rPr>
              <w:t>附件</w:t>
            </w:r>
            <w:r>
              <w:rPr>
                <w:b/>
                <w:sz w:val="24"/>
              </w:rPr>
              <w:t>：</w:t>
            </w:r>
          </w:p>
          <w:p>
            <w:pPr>
              <w:jc w:val="center"/>
            </w:pPr>
            <w:r>
              <w:rPr>
                <w:b/>
                <w:sz w:val="28"/>
              </w:rPr>
              <w:t>云浮市居家养老上门服务包标准</w:t>
            </w:r>
          </w:p>
          <w:tbl>
            <w:tblPr>
              <w:tblBorders>
                <w:top w:val="none" w:color="000000" w:sz="4"/>
                <w:left w:val="none" w:color="000000" w:sz="4"/>
                <w:bottom w:val="none" w:color="000000" w:sz="4"/>
                <w:right w:val="none" w:color="000000" w:sz="4"/>
                <w:insideH w:val="none"/>
                <w:insideV w:val="none"/>
              </w:tblBorders>
            </w:tblPr>
            <w:tblGrid>
              <w:gridCol w:w="579"/>
              <w:gridCol w:w="512"/>
              <w:gridCol w:w="769"/>
              <w:gridCol w:w="3738"/>
            </w:tblGrid>
            <w:tr>
              <w:tc>
                <w:tcPr>
                  <w:tcW w:type="dxa" w:w="579"/>
                  <w:tcBorders>
                    <w:top w:val="single" w:color="000000" w:sz="4"/>
                    <w:left w:val="single" w:color="000000" w:sz="4"/>
                    <w:bottom w:val="single" w:color="000000" w:sz="4"/>
                    <w:right w:val="single" w:color="000000" w:sz="4"/>
                  </w:tcBorders>
                  <w:vAlign w:val="top"/>
                </w:tcPr>
                <w:p>
                  <w:pPr>
                    <w:jc w:val="center"/>
                  </w:pPr>
                  <w:r>
                    <w:rPr>
                      <w:sz w:val="21"/>
                    </w:rPr>
                    <w:t>老年人能力评估</w:t>
                  </w:r>
                </w:p>
              </w:tc>
              <w:tc>
                <w:tcPr>
                  <w:tcW w:type="dxa" w:w="512"/>
                  <w:tcBorders>
                    <w:top w:val="single" w:color="000000" w:sz="4"/>
                    <w:left w:val="single" w:color="000000" w:sz="4"/>
                    <w:bottom w:val="single" w:color="000000" w:sz="4"/>
                    <w:right w:val="single" w:color="000000" w:sz="4"/>
                  </w:tcBorders>
                  <w:vAlign w:val="top"/>
                </w:tcPr>
                <w:p>
                  <w:pPr>
                    <w:jc w:val="center"/>
                  </w:pPr>
                  <w:r>
                    <w:rPr>
                      <w:sz w:val="21"/>
                    </w:rPr>
                    <w:t>费用</w:t>
                  </w:r>
                </w:p>
              </w:tc>
              <w:tc>
                <w:tcPr>
                  <w:tcW w:type="dxa" w:w="769"/>
                  <w:tcBorders>
                    <w:top w:val="single" w:color="000000" w:sz="4"/>
                    <w:left w:val="single" w:color="000000" w:sz="4"/>
                    <w:bottom w:val="single" w:color="000000" w:sz="4"/>
                    <w:right w:val="single" w:color="000000" w:sz="4"/>
                  </w:tcBorders>
                  <w:vAlign w:val="top"/>
                </w:tcPr>
                <w:p>
                  <w:pPr>
                    <w:jc w:val="center"/>
                  </w:pPr>
                  <w:r>
                    <w:rPr>
                      <w:sz w:val="21"/>
                    </w:rPr>
                    <w:t>服务工时</w:t>
                  </w:r>
                </w:p>
              </w:tc>
              <w:tc>
                <w:tcPr>
                  <w:tcW w:type="dxa" w:w="3738"/>
                  <w:tcBorders>
                    <w:top w:val="single" w:color="000000" w:sz="4"/>
                    <w:left w:val="single" w:color="000000" w:sz="4"/>
                    <w:bottom w:val="single" w:color="000000" w:sz="4"/>
                    <w:right w:val="single" w:color="000000" w:sz="4"/>
                  </w:tcBorders>
                  <w:vAlign w:val="top"/>
                </w:tcPr>
                <w:p>
                  <w:pPr>
                    <w:jc w:val="center"/>
                  </w:pPr>
                  <w:r>
                    <w:rPr>
                      <w:sz w:val="21"/>
                    </w:rPr>
                    <w:t>服务项目</w:t>
                  </w:r>
                  <w:r>
                    <w:rPr>
                      <w:sz w:val="21"/>
                    </w:rPr>
                    <w:t>/频率/单次时长/服务人员（参考国家分级护理标准制订本实施规范）</w:t>
                  </w:r>
                </w:p>
              </w:tc>
            </w:tr>
            <w:tr>
              <w:tc>
                <w:tcPr>
                  <w:tcW w:type="dxa" w:w="579"/>
                  <w:vMerge w:val="restart"/>
                  <w:tcBorders>
                    <w:top w:val="none" w:color="000000" w:sz="4"/>
                    <w:left w:val="single" w:color="000000" w:sz="4"/>
                    <w:bottom w:val="single" w:color="000000" w:sz="4"/>
                    <w:right w:val="single" w:color="000000" w:sz="4"/>
                  </w:tcBorders>
                  <w:vAlign w:val="top"/>
                </w:tcPr>
                <w:p>
                  <w:pPr>
                    <w:jc w:val="center"/>
                  </w:pPr>
                  <w:r>
                    <w:rPr>
                      <w:sz w:val="21"/>
                    </w:rPr>
                    <w:t>老年人能力等级评定为</w:t>
                  </w:r>
                  <w:r>
                    <w:rPr>
                      <w:sz w:val="21"/>
                    </w:rPr>
                    <w:t>1至3级</w:t>
                  </w:r>
                </w:p>
              </w:tc>
              <w:tc>
                <w:tcPr>
                  <w:tcW w:type="dxa" w:w="512"/>
                  <w:vMerge w:val="restart"/>
                  <w:tcBorders>
                    <w:top w:val="none" w:color="000000" w:sz="4"/>
                    <w:left w:val="single" w:color="000000" w:sz="4"/>
                    <w:bottom w:val="single" w:color="000000" w:sz="4"/>
                    <w:right w:val="single" w:color="000000" w:sz="4"/>
                  </w:tcBorders>
                  <w:vAlign w:val="top"/>
                </w:tcPr>
                <w:p>
                  <w:pPr>
                    <w:jc w:val="center"/>
                  </w:pPr>
                  <w:r>
                    <w:rPr>
                      <w:sz w:val="21"/>
                    </w:rPr>
                    <w:t>300元/人•月</w:t>
                  </w:r>
                </w:p>
              </w:tc>
              <w:tc>
                <w:tcPr>
                  <w:tcW w:type="dxa" w:w="769"/>
                  <w:vMerge w:val="restart"/>
                  <w:tcBorders>
                    <w:top w:val="none" w:color="000000" w:sz="4"/>
                    <w:left w:val="single" w:color="000000" w:sz="4"/>
                    <w:bottom w:val="single" w:color="000000" w:sz="4"/>
                    <w:right w:val="single" w:color="000000" w:sz="4"/>
                  </w:tcBorders>
                  <w:vAlign w:val="top"/>
                </w:tcPr>
                <w:p>
                  <w:pPr>
                    <w:jc w:val="center"/>
                  </w:pPr>
                  <w:r>
                    <w:rPr>
                      <w:sz w:val="21"/>
                    </w:rPr>
                    <w:t>10小时</w:t>
                  </w:r>
                </w:p>
                <w:p>
                  <w:pPr>
                    <w:jc w:val="center"/>
                  </w:pPr>
                  <w:r>
                    <w:rPr>
                      <w:sz w:val="21"/>
                    </w:rPr>
                    <w:t>（每月至少上门</w:t>
                  </w:r>
                  <w:r>
                    <w:rPr>
                      <w:sz w:val="21"/>
                    </w:rPr>
                    <w:t>10次，每次至少1小时）</w:t>
                  </w:r>
                </w:p>
              </w:tc>
              <w:tc>
                <w:tcPr>
                  <w:tcW w:type="dxa" w:w="3738"/>
                  <w:tcBorders>
                    <w:top w:val="none" w:color="000000" w:sz="4"/>
                    <w:left w:val="single" w:color="000000" w:sz="4"/>
                    <w:bottom w:val="single" w:color="000000" w:sz="4"/>
                    <w:right w:val="single" w:color="000000" w:sz="4"/>
                  </w:tcBorders>
                  <w:vAlign w:val="top"/>
                </w:tcPr>
                <w:p>
                  <w:r>
                    <w:rPr>
                      <w:sz w:val="21"/>
                    </w:rPr>
                    <w:t>24小时12349为老服务热线和紧急援助服务及家庭养老床位动态监测服务，含通讯服务</w:t>
                  </w:r>
                </w:p>
              </w:tc>
            </w:tr>
            <w:tr>
              <w:tc>
                <w:tcPr>
                  <w:tcW w:type="dxa" w:w="579"/>
                  <w:vMerge/>
                  <w:tcBorders>
                    <w:top w:val="none" w:color="000000" w:sz="4"/>
                    <w:left w:val="single" w:color="000000" w:sz="4"/>
                    <w:bottom w:val="single" w:color="000000" w:sz="4"/>
                    <w:right w:val="single" w:color="000000" w:sz="4"/>
                  </w:tcBorders>
                </w:tcPr>
                <w:p/>
              </w:tc>
              <w:tc>
                <w:tcPr>
                  <w:tcW w:type="dxa" w:w="512"/>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c>
                <w:tcPr>
                  <w:tcW w:type="dxa" w:w="3738"/>
                  <w:tcBorders>
                    <w:top w:val="none" w:color="000000" w:sz="4"/>
                    <w:left w:val="single" w:color="000000" w:sz="4"/>
                    <w:bottom w:val="single" w:color="000000" w:sz="4"/>
                    <w:right w:val="single" w:color="000000" w:sz="4"/>
                  </w:tcBorders>
                  <w:vAlign w:val="top"/>
                </w:tcPr>
                <w:p>
                  <w:r>
                    <w:rPr>
                      <w:sz w:val="21"/>
                    </w:rPr>
                    <w:t>生活支持服务（室内卫生，洗衣、洗床上用品，床铺整理，配餐助餐，代购物品，陪同室外活动，以及其它相关服务）至少</w:t>
                  </w:r>
                  <w:r>
                    <w:rPr>
                      <w:sz w:val="21"/>
                    </w:rPr>
                    <w:t>1次/周，至少1小时/次。服务人员：护理员/助老员</w:t>
                  </w:r>
                </w:p>
              </w:tc>
            </w:tr>
            <w:tr>
              <w:tc>
                <w:tcPr>
                  <w:tcW w:type="dxa" w:w="579"/>
                  <w:vMerge/>
                  <w:tcBorders>
                    <w:top w:val="none" w:color="000000" w:sz="4"/>
                    <w:left w:val="single" w:color="000000" w:sz="4"/>
                    <w:bottom w:val="single" w:color="000000" w:sz="4"/>
                    <w:right w:val="single" w:color="000000" w:sz="4"/>
                  </w:tcBorders>
                </w:tcPr>
                <w:p/>
              </w:tc>
              <w:tc>
                <w:tcPr>
                  <w:tcW w:type="dxa" w:w="512"/>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c>
                <w:tcPr>
                  <w:tcW w:type="dxa" w:w="3738"/>
                  <w:tcBorders>
                    <w:top w:val="none" w:color="000000" w:sz="4"/>
                    <w:left w:val="single" w:color="000000" w:sz="4"/>
                    <w:bottom w:val="single" w:color="000000" w:sz="4"/>
                    <w:right w:val="single" w:color="000000" w:sz="4"/>
                  </w:tcBorders>
                  <w:vAlign w:val="top"/>
                </w:tcPr>
                <w:p>
                  <w:r>
                    <w:rPr>
                      <w:sz w:val="21"/>
                    </w:rPr>
                    <w:t>身体照护服务（协助洗澡、洗头，协助理发，协助修剪指甲、趾甲，必要时协助大小便，生病时的助浴、擦身等，以及其它相关服务）至少</w:t>
                  </w:r>
                  <w:r>
                    <w:rPr>
                      <w:sz w:val="21"/>
                    </w:rPr>
                    <w:t>1次/周，至少1小时/次。服务人员：护理员/助老员</w:t>
                  </w:r>
                </w:p>
              </w:tc>
            </w:tr>
            <w:tr>
              <w:tc>
                <w:tcPr>
                  <w:tcW w:type="dxa" w:w="579"/>
                  <w:vMerge/>
                  <w:tcBorders>
                    <w:top w:val="none" w:color="000000" w:sz="4"/>
                    <w:left w:val="single" w:color="000000" w:sz="4"/>
                    <w:bottom w:val="single" w:color="000000" w:sz="4"/>
                    <w:right w:val="single" w:color="000000" w:sz="4"/>
                  </w:tcBorders>
                </w:tcPr>
                <w:p/>
              </w:tc>
              <w:tc>
                <w:tcPr>
                  <w:tcW w:type="dxa" w:w="512"/>
                  <w:vMerge/>
                  <w:tcBorders>
                    <w:top w:val="none" w:color="000000" w:sz="4"/>
                    <w:left w:val="single" w:color="000000" w:sz="4"/>
                    <w:bottom w:val="single" w:color="000000" w:sz="4"/>
                    <w:right w:val="single" w:color="000000" w:sz="4"/>
                  </w:tcBorders>
                </w:tcPr>
                <w:p/>
              </w:tc>
              <w:tc>
                <w:tcPr>
                  <w:tcW w:type="dxa" w:w="769"/>
                  <w:vMerge/>
                  <w:tcBorders>
                    <w:top w:val="none" w:color="000000" w:sz="4"/>
                    <w:left w:val="single" w:color="000000" w:sz="4"/>
                    <w:bottom w:val="single" w:color="000000" w:sz="4"/>
                    <w:right w:val="single" w:color="000000" w:sz="4"/>
                  </w:tcBorders>
                </w:tcPr>
                <w:p/>
              </w:tc>
              <w:tc>
                <w:tcPr>
                  <w:tcW w:type="dxa" w:w="3738"/>
                  <w:tcBorders>
                    <w:top w:val="none" w:color="000000" w:sz="4"/>
                    <w:left w:val="single" w:color="000000" w:sz="4"/>
                    <w:bottom w:val="single" w:color="000000" w:sz="4"/>
                    <w:right w:val="single" w:color="000000" w:sz="4"/>
                  </w:tcBorders>
                  <w:vAlign w:val="top"/>
                </w:tcPr>
                <w:p>
                  <w:r>
                    <w:rPr>
                      <w:sz w:val="21"/>
                    </w:rPr>
                    <w:t>健康管理和精神关爱服务（生命体征测量，安全提醒，谈心支持，健康生活指引，心理慰藉或心理干预，提醒就医或服药，陪同就医，陪同康复训练，以及其它相关服务）至少</w:t>
                  </w:r>
                  <w:r>
                    <w:rPr>
                      <w:sz w:val="21"/>
                    </w:rPr>
                    <w:t>2次/月，至少1小时/次。服务人员：社工、护士、医生</w:t>
                  </w:r>
                </w:p>
              </w:tc>
            </w:tr>
          </w:tbl>
          <w:p>
            <w:r>
              <w:rPr>
                <w:sz w:val="21"/>
              </w:rPr>
              <w:t>备注：本标准参照云浮市民政局</w:t>
            </w:r>
            <w:r>
              <w:rPr>
                <w:sz w:val="21"/>
              </w:rPr>
              <w:t>财政局《云浮市关于规范政府购买居家养老上门服务工作的通知》（云民函〔</w:t>
            </w:r>
            <w:r>
              <w:rPr>
                <w:sz w:val="21"/>
              </w:rPr>
              <w:t>2020〕101号）附件《云浮市政府购买居家养老上门服务包标准》。</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新兴县民政局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采购包1：单价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3家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服务招标”收费标准执行，收费金额按差额定率累进法计算。本项目代理服务费按预算金额1,584,000.00元进行计算，即代理服务费为19,672.00元，由各成交供应商平均分摊支付。</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2</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2022年11月18日下午15：00（注：2022年11月18日下午14：30开始受理纸质响应文件）（北京时间）。2、纸质响应文件送达地点：新兴县新城镇新洲大道南69号（城北商住区东区）第二层201室开标室。3、所有纸质响应文件必须装入密封的信封或封套。纸质响应文件的正本、副本应分别封装，并在每一信封或包装的封面上注明：采购项目名称、采购项目编号、供应商名称、联系人、联系电话、“于××年××月××日××时××分（纸质响应文件递交截止时间）之前不准启封”字样、正本/副本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2021年居家和社区基本养老服务提升行动项目-居家养老上门服务)：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采购包1（新兴县2021年居家和社区基本养老服务提升行动项目-居家养老上门服务）：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采购包1（新兴县2021年居家和社区基本养老服务提升行动项目-居家养老上门服务）：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提供2021年度财务报表或2022年任意一个月度/季度财务报表复印件（新成立的企业或提供基本户开户行出具的资信证明复印件）。</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提供投标截止日前六个月内任意一个月缴纳税收和社会保险的凭据复印件；依法免税或不需要缴纳社会保障资金的供应商应提供相关证明文件复印件。</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合同包1(新兴县2021年居家和社区基本养老服务提升行动项目-居家养老上门服务)特定资格要求如下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参与的供应商服务全部由符合政策要求的中小企业承接</w:t>
            </w:r>
          </w:p>
        </w:tc>
      </w:tr>
    </w:tbl>
    <w:p/>
    <w:p>
      <w:pPr>
        <w:ind w:firstLine="480"/>
      </w:pPr>
      <w:r>
        <w:rPr/>
        <w:t>表二符合性审查表：</w:t>
      </w:r>
    </w:p>
    <w:p>
      <w:pPr>
        <w:ind w:firstLine="480"/>
      </w:pPr>
    </w:p>
    <w:p/>
    <w:p>
      <w:r>
        <w:rPr/>
        <w:t>采购包1（新兴县2021年居家和社区基本养老服务提升行动项目-居家养老上门服务）：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磋商文件完整且总体编排有序，并按磋商文件规定要求签署、盖章的</w:t>
            </w:r>
          </w:p>
        </w:tc>
        <w:tc>
          <w:tcPr>
            <w:tcW w:type="dxa" w:w="4238"/>
          </w:tcPr>
          <w:p>
            <w:r>
              <w:rPr/>
              <w:t>磋商文件完整且总体编排有序，并按磋商文件规定要求签署、盖章的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采购包1新兴县2021年居家和社区基本养老服务提升行动项目-居家养老上门服务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技术部分70.0分</w:t>
            </w:r>
          </w:p>
        </w:tc>
      </w:tr>
      <w:tr>
        <w:tc>
          <w:tcPr>
            <w:tcW w:type="dxa" w:w="922"/>
            <w:gridSpan w:val="2"/>
            <w:vMerge w:val="restart"/>
          </w:tcPr>
          <w:p>
            <w:pPr>
              <w:jc w:val="center"/>
            </w:pPr>
            <w:r>
              <w:rPr/>
              <w:t>技术部分</w:t>
            </w:r>
          </w:p>
        </w:tc>
        <w:tc>
          <w:tcPr>
            <w:tcW w:type="dxa" w:w="2307"/>
          </w:tcPr>
          <w:p>
            <w:pPr>
              <w:jc w:val="left"/>
            </w:pPr>
            <w:r>
              <w:rPr/>
              <w:t>采购需求响应程度 (2.0分)</w:t>
            </w:r>
            <w:r>
              <w:rPr/>
              <w:t>，（等次分值选择：</w:t>
            </w:r>
            <w:r>
              <w:rPr/>
              <w:t>0.0;</w:t>
            </w:r>
            <w:r>
              <w:rPr/>
              <w:t>1.0;</w:t>
            </w:r>
            <w:r>
              <w:rPr/>
              <w:t>2.0;</w:t>
            </w:r>
            <w:r>
              <w:rPr/>
              <w:t>）</w:t>
            </w:r>
          </w:p>
        </w:tc>
        <w:tc>
          <w:tcPr>
            <w:tcW w:type="dxa" w:w="5076"/>
          </w:tcPr>
          <w:p>
            <w:pPr>
              <w:jc w:val="left"/>
            </w:pPr>
            <w:r>
              <w:rPr/>
              <w:t>考查各供应商对“第二章 采购需求”中“1.主要商务要求”和“2.技术标准与要求”的非“★”项条款的响应情况： （1）响应完全的，得2分； （2）响应不完全，有部分缺漏的，得1分； （3）响应缺漏严重的，得0分。</w:t>
            </w:r>
          </w:p>
        </w:tc>
      </w:tr>
      <w:tr>
        <w:tc>
          <w:tcPr>
            <w:tcW w:type="dxa" w:w="922"/>
            <w:gridSpan w:val="2"/>
            <w:vMerge/>
          </w:tcPr>
          <w:p/>
        </w:tc>
        <w:tc>
          <w:tcPr>
            <w:tcW w:type="dxa" w:w="2307"/>
          </w:tcPr>
          <w:p>
            <w:pPr>
              <w:jc w:val="left"/>
            </w:pPr>
            <w:r>
              <w:rPr/>
              <w:t>项目整体规划情况 (15.0分)</w:t>
            </w:r>
            <w:r>
              <w:rPr/>
              <w:t>，（等次分值选择：</w:t>
            </w:r>
            <w:r>
              <w:rPr/>
              <w:t>0.0;</w:t>
            </w:r>
            <w:r>
              <w:rPr/>
              <w:t>3.0;</w:t>
            </w:r>
            <w:r>
              <w:rPr/>
              <w:t>7.0;</w:t>
            </w:r>
            <w:r>
              <w:rPr/>
              <w:t>11.0;</w:t>
            </w:r>
            <w:r>
              <w:rPr/>
              <w:t>15.0;</w:t>
            </w:r>
            <w:r>
              <w:rPr/>
              <w:t>）</w:t>
            </w:r>
          </w:p>
        </w:tc>
        <w:tc>
          <w:tcPr>
            <w:tcW w:type="dxa" w:w="5076"/>
          </w:tcPr>
          <w:p>
            <w:pPr>
              <w:jc w:val="left"/>
            </w:pPr>
            <w:r>
              <w:rPr/>
              <w:t>根据供应商提供的项目整体规划，评价其对项目的了解程度，以及专业养老支持等参考方案的可行性、是否可以有效推进规划实施： （1）对项目的了解程度深，专业养老支持等参考方案的可行性强，可以非常有效地推进规划实施，得15分； （2）对项目的了解程度较深，专业养老支持等参考方案的可行性较强，可以有效地推进规划实施，得11分； （3）对项目的了解程度一般，专业养老支持等参考方案的可行性一般，基本能推进规划实施，得7分； （4）对项目的了解程度较浅，专业养老支持等参考方案的可行性较差，不能有效地能推进规划实施，得3分； （5）无提供项目整体规划的，得0分。</w:t>
            </w:r>
          </w:p>
        </w:tc>
      </w:tr>
      <w:tr>
        <w:tc>
          <w:tcPr>
            <w:tcW w:type="dxa" w:w="922"/>
            <w:gridSpan w:val="2"/>
            <w:vMerge/>
          </w:tcPr>
          <w:p/>
        </w:tc>
        <w:tc>
          <w:tcPr>
            <w:tcW w:type="dxa" w:w="2307"/>
          </w:tcPr>
          <w:p>
            <w:pPr>
              <w:jc w:val="left"/>
            </w:pPr>
            <w:r>
              <w:rPr/>
              <w:t>项目经费预算保障方案 (11.0分)</w:t>
            </w:r>
            <w:r>
              <w:rPr/>
              <w:t>，（等次分值选择：</w:t>
            </w:r>
            <w:r>
              <w:rPr/>
              <w:t>0.0;</w:t>
            </w:r>
            <w:r>
              <w:rPr/>
              <w:t>2.0;</w:t>
            </w:r>
            <w:r>
              <w:rPr/>
              <w:t>5.0;</w:t>
            </w:r>
            <w:r>
              <w:rPr/>
              <w:t>8.0;</w:t>
            </w:r>
            <w:r>
              <w:rPr/>
              <w:t>11.0;</w:t>
            </w:r>
            <w:r>
              <w:rPr/>
              <w:t>）</w:t>
            </w:r>
          </w:p>
        </w:tc>
        <w:tc>
          <w:tcPr>
            <w:tcW w:type="dxa" w:w="5076"/>
          </w:tcPr>
          <w:p>
            <w:pPr>
              <w:jc w:val="left"/>
            </w:pPr>
            <w:r>
              <w:rPr/>
              <w:t>根据供应商提供的项目经费预算保障方案进行综合评分： （1）项目经费预算科目的清晰性、对工作中各项可能性支出考虑的全面性、预算明细的合理性及合规性非常好，得11分； （2）项目经费预算科目的清晰性、对工作中各项可能性支出考虑的全面性、预算明细的合理性及合规性较好，得8分； （3）项目经费预算科目的清晰性、对工作中各项可能性支出考虑的全面性、预算明细的合理性及合规性一般，得5分； （4）项目经费预算科目的清晰性、对工作中各项可能性支出考虑的全面性、预算明细的合理性及合规性较差，得2分； （5）无提供项目经费预算保障方案的，得0分。</w:t>
            </w:r>
          </w:p>
        </w:tc>
      </w:tr>
      <w:tr>
        <w:tc>
          <w:tcPr>
            <w:tcW w:type="dxa" w:w="922"/>
            <w:gridSpan w:val="2"/>
            <w:vMerge/>
          </w:tcPr>
          <w:p/>
        </w:tc>
        <w:tc>
          <w:tcPr>
            <w:tcW w:type="dxa" w:w="2307"/>
          </w:tcPr>
          <w:p>
            <w:pPr>
              <w:jc w:val="left"/>
            </w:pPr>
            <w:r>
              <w:rPr/>
              <w:t>具体服务方案及相关管理制度 (18.0分)</w:t>
            </w:r>
            <w:r>
              <w:rPr/>
              <w:t>，（等次分值选择：</w:t>
            </w:r>
            <w:r>
              <w:rPr/>
              <w:t>0.0;</w:t>
            </w:r>
            <w:r>
              <w:rPr/>
              <w:t>3.0;</w:t>
            </w:r>
            <w:r>
              <w:rPr/>
              <w:t>8.0;</w:t>
            </w:r>
            <w:r>
              <w:rPr/>
              <w:t>13.0;</w:t>
            </w:r>
            <w:r>
              <w:rPr/>
              <w:t>18.0;</w:t>
            </w:r>
            <w:r>
              <w:rPr/>
              <w:t>）</w:t>
            </w:r>
          </w:p>
        </w:tc>
        <w:tc>
          <w:tcPr>
            <w:tcW w:type="dxa" w:w="5076"/>
          </w:tcPr>
          <w:p>
            <w:pPr>
              <w:jc w:val="left"/>
            </w:pPr>
            <w:r>
              <w:rPr/>
              <w:t>根据供应商提供的具体服务方案及相关管理制度（包括但不限于日常管理方案、各项工作流程、人员及岗位职责、安全卫生措施、规章制度等）进行综合评分： （1）组织协调能力强，工作方案思路清晰、操作性强，管理制度完善，具有创新的管理理念，方案符合项目需求的，得18分； （2）有一定的组织协调能力，工作方案思路较为清晰，操作性较强，管理制度较完善，具有较为先进的管理理念，方案较符合项目需求的，得13分； （3）组织协调能力一般，工作方案思路的清晰度和操作性一般，管理制度基本完善，管理理念较为常见，方案基本符合项目需求的，得8分； （4）组织协调能力较弱，工作方案思路不够清晰，欠缺操作性，管理制度不完善，管理理念不明确，方案与项目需求有不相符的，得3分； （5）无提供具体服务方案及相关管理制度的，得0分。</w:t>
            </w:r>
          </w:p>
        </w:tc>
      </w:tr>
      <w:tr>
        <w:tc>
          <w:tcPr>
            <w:tcW w:type="dxa" w:w="922"/>
            <w:gridSpan w:val="2"/>
            <w:vMerge/>
          </w:tcPr>
          <w:p/>
        </w:tc>
        <w:tc>
          <w:tcPr>
            <w:tcW w:type="dxa" w:w="2307"/>
          </w:tcPr>
          <w:p>
            <w:pPr>
              <w:jc w:val="left"/>
            </w:pPr>
            <w:r>
              <w:rPr/>
              <w:t>服务质量要求及保障措施 (8.0分)</w:t>
            </w:r>
            <w:r>
              <w:rPr/>
              <w:t>，（等次分值选择：</w:t>
            </w:r>
            <w:r>
              <w:rPr/>
              <w:t>0.0;</w:t>
            </w:r>
            <w:r>
              <w:rPr/>
              <w:t>2.0;</w:t>
            </w:r>
            <w:r>
              <w:rPr/>
              <w:t>5.0;</w:t>
            </w:r>
            <w:r>
              <w:rPr/>
              <w:t>8.0;</w:t>
            </w:r>
            <w:r>
              <w:rPr/>
              <w:t>）</w:t>
            </w:r>
          </w:p>
        </w:tc>
        <w:tc>
          <w:tcPr>
            <w:tcW w:type="dxa" w:w="5076"/>
          </w:tcPr>
          <w:p>
            <w:pPr>
              <w:jc w:val="left"/>
            </w:pPr>
            <w:r>
              <w:rPr/>
              <w:t>根据供应商对自身的服务质量要求及其提供的保障措施进行综合评分： （1）服务质量要求高、保障措施齐全可靠，有完善的服务质量监控监督检查办法，得8分； （2）服务质量有一定要求、保障措施基本齐全，服务质量监控监督检查办法基本完善，得5分； （3）服务质量要求低、保障措施较欠缺，服务质量监控监督检查办法不完善，得2分； （4）无提供服务质量要求及保障措施的，得0分。</w:t>
            </w:r>
          </w:p>
        </w:tc>
      </w:tr>
      <w:tr>
        <w:tc>
          <w:tcPr>
            <w:tcW w:type="dxa" w:w="922"/>
            <w:gridSpan w:val="2"/>
            <w:vMerge/>
          </w:tcPr>
          <w:p/>
        </w:tc>
        <w:tc>
          <w:tcPr>
            <w:tcW w:type="dxa" w:w="2307"/>
          </w:tcPr>
          <w:p>
            <w:pPr>
              <w:jc w:val="left"/>
            </w:pPr>
            <w:r>
              <w:rPr/>
              <w:t>应急方案 (8.0分)</w:t>
            </w:r>
            <w:r>
              <w:rPr/>
              <w:t>，（等次分值选择：</w:t>
            </w:r>
            <w:r>
              <w:rPr/>
              <w:t>0.0;</w:t>
            </w:r>
            <w:r>
              <w:rPr/>
              <w:t>2.0;</w:t>
            </w:r>
            <w:r>
              <w:rPr/>
              <w:t>5.0;</w:t>
            </w:r>
            <w:r>
              <w:rPr/>
              <w:t>8.0;</w:t>
            </w:r>
            <w:r>
              <w:rPr/>
              <w:t>）</w:t>
            </w:r>
          </w:p>
        </w:tc>
        <w:tc>
          <w:tcPr>
            <w:tcW w:type="dxa" w:w="5076"/>
          </w:tcPr>
          <w:p>
            <w:pPr>
              <w:jc w:val="left"/>
            </w:pPr>
            <w:r>
              <w:rPr/>
              <w:t>根据供应商针对居家养老上门服务中遇到的突发事件（如突发性疾病、火灾、食物中毒、外来暴力侵害等）制定的应急方案进行综合评分： （1）方案详尽，可行性、合理性、完善性、针对性强，得8分； （2）方案基本详尽，可行性、合理性、完善性、针对性一般，得5分； （3）方案过于简单且可行性、合理性、完善性、针对性较差，得2分；  （4）无提供应急方案的，得0分。</w:t>
            </w:r>
          </w:p>
        </w:tc>
      </w:tr>
      <w:tr>
        <w:tc>
          <w:tcPr>
            <w:tcW w:type="dxa" w:w="922"/>
            <w:gridSpan w:val="2"/>
            <w:vMerge/>
          </w:tcPr>
          <w:p/>
        </w:tc>
        <w:tc>
          <w:tcPr>
            <w:tcW w:type="dxa" w:w="2307"/>
          </w:tcPr>
          <w:p>
            <w:pPr>
              <w:jc w:val="left"/>
            </w:pPr>
            <w:r>
              <w:rPr/>
              <w:t>服务人员培训方案 (8.0分)</w:t>
            </w:r>
            <w:r>
              <w:rPr/>
              <w:t>，（等次分值选择：</w:t>
            </w:r>
            <w:r>
              <w:rPr/>
              <w:t>0.0;</w:t>
            </w:r>
            <w:r>
              <w:rPr/>
              <w:t>2.0;</w:t>
            </w:r>
            <w:r>
              <w:rPr/>
              <w:t>5.0;</w:t>
            </w:r>
            <w:r>
              <w:rPr/>
              <w:t>8.0;</w:t>
            </w:r>
            <w:r>
              <w:rPr/>
              <w:t>）</w:t>
            </w:r>
          </w:p>
        </w:tc>
        <w:tc>
          <w:tcPr>
            <w:tcW w:type="dxa" w:w="5076"/>
          </w:tcPr>
          <w:p>
            <w:pPr>
              <w:jc w:val="left"/>
            </w:pPr>
            <w:r>
              <w:rPr/>
              <w:t>根据供应商提供的服务人员培训方案进行综合评分： （1）培训方案完善，科学合理，可行性高，得8分； （2）培训方案基本完善，有一定的科学合理性，可行性一般，得5分； （3）培训方案不完善，欠科学，缺乏可行性，得2分； （4）无提供服务人员培训方案的，得0分。</w:t>
            </w:r>
          </w:p>
        </w:tc>
      </w:tr>
      <w:tr>
        <w:tc>
          <w:tcPr>
            <w:tcW w:type="dxa" w:w="922"/>
            <w:gridSpan w:val="2"/>
            <w:vMerge w:val="restart"/>
          </w:tcPr>
          <w:p>
            <w:pPr>
              <w:jc w:val="center"/>
            </w:pPr>
            <w:r>
              <w:rPr/>
              <w:t>商务部分</w:t>
            </w:r>
          </w:p>
        </w:tc>
        <w:tc>
          <w:tcPr>
            <w:tcW w:type="dxa" w:w="2307"/>
          </w:tcPr>
          <w:p>
            <w:pPr>
              <w:jc w:val="left"/>
            </w:pPr>
            <w:r>
              <w:rPr/>
              <w:t>同类项目业绩 (15.0分)</w:t>
            </w:r>
            <w:r>
              <w:rPr/>
              <w:t>，（等次分值选择：</w:t>
            </w:r>
            <w:r>
              <w:rPr/>
              <w:t>0.0;</w:t>
            </w:r>
            <w:r>
              <w:rPr/>
              <w:t>5.0;</w:t>
            </w:r>
            <w:r>
              <w:rPr/>
              <w:t>10.0;</w:t>
            </w:r>
            <w:r>
              <w:rPr/>
              <w:t>15.0;</w:t>
            </w:r>
            <w:r>
              <w:rPr/>
              <w:t>）</w:t>
            </w:r>
          </w:p>
        </w:tc>
        <w:tc>
          <w:tcPr>
            <w:tcW w:type="dxa" w:w="5076"/>
          </w:tcPr>
          <w:p>
            <w:pPr>
              <w:jc w:val="left"/>
            </w:pPr>
            <w:r>
              <w:rPr/>
              <w:t>供应商自2022年以来（以合同签订时间为准）承接的养老服务类项目业绩：每提供1个得5分，本项最高得15分。 【备注：响应文件中须提供合同关键页复印件，不提供不得分。】</w:t>
            </w:r>
          </w:p>
        </w:tc>
      </w:tr>
      <w:tr>
        <w:tc>
          <w:tcPr>
            <w:tcW w:type="dxa" w:w="922"/>
            <w:gridSpan w:val="2"/>
            <w:vMerge/>
          </w:tcPr>
          <w:p/>
        </w:tc>
        <w:tc>
          <w:tcPr>
            <w:tcW w:type="dxa" w:w="2307"/>
          </w:tcPr>
          <w:p>
            <w:pPr>
              <w:jc w:val="left"/>
            </w:pPr>
            <w:r>
              <w:rPr/>
              <w:t>拟投入本项目的人员 (5.0分)</w:t>
            </w:r>
            <w:r>
              <w:rPr/>
              <w:t>，（等次分值选择：</w:t>
            </w:r>
            <w:r>
              <w:rPr/>
              <w:t>0.0;</w:t>
            </w:r>
            <w:r>
              <w:rPr/>
              <w:t>1.0;</w:t>
            </w:r>
            <w:r>
              <w:rPr/>
              <w:t>3.0;</w:t>
            </w:r>
            <w:r>
              <w:rPr/>
              <w:t>5.0;</w:t>
            </w:r>
            <w:r>
              <w:rPr/>
              <w:t>）</w:t>
            </w:r>
          </w:p>
        </w:tc>
        <w:tc>
          <w:tcPr>
            <w:tcW w:type="dxa" w:w="5076"/>
          </w:tcPr>
          <w:p>
            <w:pPr>
              <w:jc w:val="left"/>
            </w:pPr>
            <w:r>
              <w:rPr/>
              <w:t>对供应商拟投入本项目的人员组成数量、结构进行综合评分： （1）人员充足、结构合理，得5分； （2）人员基本充足、结构基本合理，得3分； （3）人员欠充足、结构欠合理，得1分。 【备注：响应文件中须提供人员相关证件复印件，不提供不得分。】</w:t>
            </w:r>
          </w:p>
        </w:tc>
      </w:tr>
      <w:tr>
        <w:tc>
          <w:tcPr>
            <w:tcW w:type="dxa" w:w="922"/>
            <w:gridSpan w:val="2"/>
            <w:vMerge/>
          </w:tcPr>
          <w:p/>
        </w:tc>
        <w:tc>
          <w:tcPr>
            <w:tcW w:type="dxa" w:w="2307"/>
          </w:tcPr>
          <w:p>
            <w:pPr>
              <w:jc w:val="left"/>
            </w:pPr>
            <w:r>
              <w:rPr/>
              <w:t>服务机构便利性 (10.0分)</w:t>
            </w:r>
            <w:r>
              <w:rPr/>
              <w:t>，（等次分值选择：</w:t>
            </w:r>
            <w:r>
              <w:rPr/>
              <w:t>0.0;</w:t>
            </w:r>
            <w:r>
              <w:rPr/>
              <w:t>2.0;</w:t>
            </w:r>
            <w:r>
              <w:rPr/>
              <w:t>5.0;</w:t>
            </w:r>
            <w:r>
              <w:rPr/>
              <w:t>8.0;</w:t>
            </w:r>
            <w:r>
              <w:rPr/>
              <w:t>10.0;</w:t>
            </w:r>
            <w:r>
              <w:rPr/>
              <w:t>）</w:t>
            </w:r>
          </w:p>
        </w:tc>
        <w:tc>
          <w:tcPr>
            <w:tcW w:type="dxa" w:w="5076"/>
          </w:tcPr>
          <w:p>
            <w:pPr>
              <w:jc w:val="left"/>
            </w:pPr>
            <w:r>
              <w:rPr/>
              <w:t>为保证服务响应时效，综合评价供应商服务机构的便利性： （1）服务机构非常便利，服务距离非常近，得10分； （2）服务机构相对较便利，服务距离较近，得8分； （3）服务机构的便利性一般，服务距离较远，得5分； （4）服务机构不便利，服务距离远，得2分。 【备注：以供应商服务机构营业执照地址为准，响应文件中须提供营业执照复印件。】</w:t>
            </w:r>
          </w:p>
        </w:tc>
      </w:tr>
    </w:tbl>
    <w:p/>
    <w:p>
      <w:r>
        <w:rPr>
          <w:b/>
          <w:sz w:val="24"/>
        </w:rPr>
        <w:t>6.汇总、排序</w:t>
      </w:r>
    </w:p>
    <w:p>
      <w:pPr>
        <w:ind w:firstLine="480"/>
      </w:pPr>
    </w:p>
    <w:p/>
    <w:p>
      <w:r>
        <w:rPr/>
        <w:t>采购包1：</w:t>
      </w:r>
    </w:p>
    <w:p/>
    <w:p>
      <w:r>
        <w:rPr/>
        <w:t>评审结果按评审后总得分由高到低顺序排列。评审得分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r>
        <w:rPr>
          <w:b/>
          <w:sz w:val="21"/>
        </w:rPr>
        <w:t>注：</w:t>
      </w:r>
    </w:p>
    <w:p>
      <w:r>
        <w:rPr>
          <w:b/>
          <w:sz w:val="21"/>
        </w:rPr>
        <w:t>1、</w:t>
      </w:r>
      <w:r>
        <w:rPr>
          <w:b/>
          <w:sz w:val="21"/>
        </w:rPr>
        <w:t>本合同仅为合同的参考文本，合同签订双方应按照磋商文件的要求和响应文件的承诺进行修订。</w:t>
      </w:r>
    </w:p>
    <w:p>
      <w:r>
        <w:rPr>
          <w:b/>
          <w:sz w:val="21"/>
        </w:rPr>
        <w:t>2、根据《关于印发&lt;政府采购促进中小企业发展管理办法&gt;的通知》（财库〔2020〕46号），本合同为中小企业预留合同。</w:t>
      </w:r>
    </w:p>
    <w:p>
      <w:pPr>
        <w:jc w:val="center"/>
      </w:pPr>
    </w:p>
    <w:p>
      <w:pPr>
        <w:jc w:val="center"/>
      </w:pPr>
    </w:p>
    <w:p>
      <w:pPr>
        <w:jc w:val="center"/>
      </w:pPr>
      <w:r>
        <w:rPr/>
        <w:t xml:space="preserve"> </w:t>
      </w:r>
    </w:p>
    <w:p>
      <w:pPr>
        <w:jc w:val="center"/>
      </w:pPr>
      <w:r>
        <w:rPr>
          <w:b/>
          <w:sz w:val="84"/>
        </w:rPr>
        <w:t>政府采购项目</w:t>
      </w:r>
    </w:p>
    <w:p/>
    <w:p/>
    <w:p>
      <w:pPr>
        <w:jc w:val="center"/>
      </w:pPr>
      <w:r>
        <w:rPr/>
        <w:t xml:space="preserve"> </w:t>
      </w:r>
    </w:p>
    <w:p>
      <w:pPr>
        <w:jc w:val="center"/>
      </w:pPr>
      <w:r>
        <w:rPr/>
        <w:t xml:space="preserve"> </w:t>
      </w:r>
    </w:p>
    <w:p>
      <w:pPr>
        <w:jc w:val="center"/>
      </w:pPr>
      <w:r>
        <w:rPr>
          <w:b/>
          <w:sz w:val="52"/>
        </w:rPr>
        <w:t>合</w:t>
      </w:r>
    </w:p>
    <w:p>
      <w:pPr>
        <w:jc w:val="center"/>
      </w:pPr>
    </w:p>
    <w:p>
      <w:pPr>
        <w:jc w:val="center"/>
      </w:pPr>
      <w:r>
        <w:rPr/>
        <w:t xml:space="preserve"> </w:t>
      </w:r>
    </w:p>
    <w:p>
      <w:pPr>
        <w:jc w:val="center"/>
      </w:pPr>
      <w:r>
        <w:rPr>
          <w:b/>
          <w:sz w:val="52"/>
        </w:rPr>
        <w:t>同</w:t>
      </w:r>
    </w:p>
    <w:p>
      <w:pPr>
        <w:jc w:val="center"/>
      </w:pPr>
    </w:p>
    <w:p>
      <w:pPr>
        <w:jc w:val="center"/>
      </w:pPr>
      <w:r>
        <w:rPr/>
        <w:t xml:space="preserve"> </w:t>
      </w:r>
    </w:p>
    <w:p>
      <w:pPr>
        <w:jc w:val="center"/>
      </w:pPr>
      <w:r>
        <w:rPr>
          <w:b/>
          <w:sz w:val="52"/>
        </w:rPr>
        <w:t>书</w:t>
      </w:r>
    </w:p>
    <w:p>
      <w:pPr>
        <w:jc w:val="center"/>
      </w:pPr>
      <w:r>
        <w:rPr/>
        <w:t xml:space="preserve"> </w:t>
      </w:r>
    </w:p>
    <w:p>
      <w:pPr>
        <w:jc w:val="center"/>
      </w:pPr>
      <w:r>
        <w:rPr/>
        <w:t xml:space="preserve"> </w:t>
      </w:r>
    </w:p>
    <w:p/>
    <w:p>
      <w:pPr>
        <w:jc w:val="both"/>
      </w:pPr>
    </w:p>
    <w:p/>
    <w:p>
      <w:pPr>
        <w:ind w:firstLine="281"/>
      </w:pPr>
      <w:r>
        <w:rPr>
          <w:b/>
          <w:sz w:val="28"/>
        </w:rPr>
        <w:t>项目名称：</w:t>
      </w:r>
      <w:r>
        <w:rPr>
          <w:b/>
          <w:sz w:val="21"/>
          <w:u w:val="single"/>
        </w:rPr>
        <w:t xml:space="preserve">                          </w:t>
      </w:r>
    </w:p>
    <w:p>
      <w:pPr>
        <w:ind w:firstLine="281"/>
      </w:pPr>
      <w:r>
        <w:rPr>
          <w:b/>
          <w:sz w:val="28"/>
        </w:rPr>
        <w:t>合同编号：</w:t>
      </w:r>
      <w:r>
        <w:rPr>
          <w:b/>
          <w:sz w:val="21"/>
          <w:u w:val="single"/>
        </w:rPr>
        <w:t xml:space="preserve">                          </w:t>
      </w:r>
    </w:p>
    <w:p>
      <w:pPr>
        <w:ind w:firstLine="281"/>
      </w:pPr>
      <w:r>
        <w:rPr>
          <w:b/>
          <w:sz w:val="28"/>
        </w:rPr>
        <w:t>签约地点：</w:t>
      </w:r>
      <w:r>
        <w:rPr>
          <w:b/>
          <w:sz w:val="21"/>
          <w:u w:val="single"/>
        </w:rPr>
        <w:t xml:space="preserve">                          </w:t>
      </w:r>
    </w:p>
    <w:p>
      <w:pPr>
        <w:ind w:firstLine="281"/>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Pr>
        <w:jc w:val="center"/>
      </w:pPr>
    </w:p>
    <w:p/>
    <w:p>
      <w:pPr>
        <w:pBdr>
          <w:bottom w:val="single" w:sz="12" w:space="1"/>
        </w:pBdr>
      </w:pPr>
    </w:p>
    <w:p>
      <w:r>
        <w:rPr>
          <w:b/>
          <w:sz w:val="21"/>
        </w:rPr>
        <w:t>甲</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
      <w:pPr>
        <w:ind w:firstLine="420"/>
      </w:pPr>
      <w:r>
        <w:rPr>
          <w:sz w:val="21"/>
        </w:rPr>
        <w:t>根据</w:t>
      </w:r>
      <w:r>
        <w:rPr>
          <w:sz w:val="21"/>
          <w:u w:val="single"/>
        </w:rPr>
        <w:t xml:space="preserve">                          </w:t>
      </w:r>
      <w:r>
        <w:rPr>
          <w:sz w:val="21"/>
        </w:rPr>
        <w:t>项目（采购项目编号：</w:t>
      </w:r>
      <w:r>
        <w:rPr>
          <w:sz w:val="21"/>
          <w:u w:val="single"/>
        </w:rPr>
        <w:t xml:space="preserve">         </w:t>
      </w:r>
      <w:r>
        <w:rPr>
          <w:sz w:val="21"/>
        </w:rPr>
        <w:t>）的采购结果，按照《中华人民共和国政府采购法》、《</w:t>
      </w:r>
      <w:r>
        <w:rPr>
          <w:sz w:val="21"/>
        </w:rPr>
        <w:t>中华人民共和国</w:t>
      </w:r>
      <w:r>
        <w:rPr>
          <w:sz w:val="21"/>
        </w:rPr>
        <w:t>民法典》的规定，</w:t>
      </w:r>
      <w:r>
        <w:rPr>
          <w:sz w:val="21"/>
        </w:rPr>
        <w:t>经双方协商，</w:t>
      </w:r>
      <w:r>
        <w:rPr>
          <w:sz w:val="21"/>
        </w:rPr>
        <w:t>本着平等互利和诚实信用的原则，</w:t>
      </w:r>
      <w:r>
        <w:rPr>
          <w:sz w:val="21"/>
        </w:rPr>
        <w:t>一致同意签订本合同如下</w:t>
      </w:r>
      <w:r>
        <w:rPr>
          <w:sz w:val="21"/>
        </w:rPr>
        <w:t>。</w:t>
      </w:r>
    </w:p>
    <w:p>
      <w:pPr>
        <w:jc w:val="both"/>
      </w:pPr>
      <w:r>
        <w:rPr>
          <w:b/>
          <w:sz w:val="21"/>
        </w:rPr>
        <w:t>一、居家养老上门服务补助标准</w:t>
      </w:r>
    </w:p>
    <w:p>
      <w:pPr>
        <w:ind w:firstLine="435"/>
      </w:pPr>
      <w:r>
        <w:rPr>
          <w:sz w:val="21"/>
        </w:rPr>
        <w:t>……</w:t>
      </w:r>
    </w:p>
    <w:p>
      <w:pPr>
        <w:jc w:val="both"/>
      </w:pPr>
      <w:r>
        <w:rPr>
          <w:b/>
          <w:sz w:val="21"/>
        </w:rPr>
        <w:t>二、服务</w:t>
      </w:r>
      <w:r>
        <w:rPr>
          <w:b/>
          <w:sz w:val="21"/>
        </w:rPr>
        <w:t>范围</w:t>
      </w:r>
    </w:p>
    <w:p>
      <w:r>
        <w:rPr>
          <w:sz w:val="21"/>
        </w:rPr>
        <w:t>1、本合同项下的服务指</w:t>
      </w:r>
      <w:r>
        <w:rPr>
          <w:sz w:val="21"/>
          <w:u w:val="single"/>
        </w:rPr>
        <w:t xml:space="preserve">                            </w:t>
      </w:r>
      <w:r>
        <w:rPr>
          <w:sz w:val="21"/>
        </w:rPr>
        <w:t>。</w:t>
      </w:r>
    </w:p>
    <w:p>
      <w:r>
        <w:rPr>
          <w:sz w:val="21"/>
        </w:rPr>
        <w:t>2、</w:t>
      </w:r>
      <w:r>
        <w:rPr>
          <w:sz w:val="21"/>
        </w:rPr>
        <w:t>……</w:t>
      </w:r>
    </w:p>
    <w:p>
      <w:r>
        <w:rPr>
          <w:sz w:val="21"/>
        </w:rPr>
        <w:t>3、</w:t>
      </w:r>
      <w:r>
        <w:rPr>
          <w:sz w:val="21"/>
        </w:rPr>
        <w:t>……</w:t>
      </w:r>
    </w:p>
    <w:p>
      <w:pPr>
        <w:jc w:val="both"/>
      </w:pPr>
      <w:r>
        <w:rPr>
          <w:b/>
          <w:sz w:val="21"/>
        </w:rPr>
        <w:t>三、履行期限、地点和方式</w:t>
      </w:r>
    </w:p>
    <w:p>
      <w:pPr>
        <w:ind w:firstLine="435"/>
      </w:pPr>
      <w:r>
        <w:rPr>
          <w:sz w:val="21"/>
        </w:rPr>
        <w:t>……</w:t>
      </w:r>
    </w:p>
    <w:p>
      <w:pPr>
        <w:jc w:val="both"/>
      </w:pPr>
      <w:r>
        <w:rPr>
          <w:b/>
          <w:sz w:val="21"/>
        </w:rPr>
        <w:t>四、</w:t>
      </w:r>
      <w:r>
        <w:rPr>
          <w:b/>
          <w:sz w:val="21"/>
        </w:rPr>
        <w:t>服务要求</w:t>
      </w:r>
    </w:p>
    <w:p>
      <w:pPr>
        <w:ind w:firstLine="435"/>
      </w:pPr>
      <w:r>
        <w:rPr>
          <w:sz w:val="21"/>
        </w:rPr>
        <w:t>……</w:t>
      </w:r>
    </w:p>
    <w:p>
      <w:pPr>
        <w:jc w:val="both"/>
      </w:pPr>
      <w:r>
        <w:rPr>
          <w:b/>
          <w:sz w:val="21"/>
        </w:rPr>
        <w:t>五、验收要求</w:t>
      </w:r>
    </w:p>
    <w:p>
      <w:pPr>
        <w:ind w:firstLine="435"/>
      </w:pPr>
      <w:r>
        <w:rPr>
          <w:sz w:val="21"/>
        </w:rPr>
        <w:t>……</w:t>
      </w:r>
    </w:p>
    <w:p>
      <w:pPr>
        <w:jc w:val="both"/>
      </w:pPr>
      <w:r>
        <w:rPr>
          <w:b/>
          <w:sz w:val="21"/>
        </w:rPr>
        <w:t>六、付款方式</w:t>
      </w:r>
    </w:p>
    <w:p>
      <w:pPr>
        <w:ind w:firstLine="435"/>
      </w:pPr>
      <w:r>
        <w:rPr>
          <w:sz w:val="21"/>
        </w:rPr>
        <w:t>……</w:t>
      </w:r>
    </w:p>
    <w:p>
      <w:pPr>
        <w:jc w:val="both"/>
      </w:pPr>
      <w:r>
        <w:rPr>
          <w:b/>
          <w:sz w:val="21"/>
        </w:rPr>
        <w:t>七、其他商务要求（如有）</w:t>
      </w:r>
    </w:p>
    <w:p>
      <w:pPr>
        <w:ind w:firstLine="420"/>
        <w:jc w:val="both"/>
      </w:pPr>
      <w:r>
        <w:rPr>
          <w:sz w:val="21"/>
        </w:rPr>
        <w:t>……</w:t>
      </w:r>
    </w:p>
    <w:p>
      <w:pPr>
        <w:jc w:val="both"/>
      </w:pPr>
      <w:r>
        <w:rPr>
          <w:b/>
          <w:sz w:val="21"/>
        </w:rPr>
        <w:t>八、甲乙双方的权利和义务</w:t>
      </w:r>
    </w:p>
    <w:p>
      <w:r>
        <w:rPr>
          <w:sz w:val="21"/>
        </w:rPr>
        <w:t>（一）甲方的权利和义务</w:t>
      </w:r>
    </w:p>
    <w:p>
      <w:pPr>
        <w:ind w:firstLine="420"/>
      </w:pPr>
      <w:r>
        <w:rPr>
          <w:sz w:val="21"/>
        </w:rPr>
        <w:t>……</w:t>
      </w:r>
    </w:p>
    <w:p>
      <w:r>
        <w:rPr>
          <w:sz w:val="21"/>
        </w:rPr>
        <w:t>（二）乙方的权利和义务</w:t>
      </w:r>
    </w:p>
    <w:p>
      <w:pPr>
        <w:ind w:firstLine="420"/>
      </w:pPr>
      <w:r>
        <w:rPr>
          <w:sz w:val="21"/>
        </w:rPr>
        <w:t>……</w:t>
      </w:r>
    </w:p>
    <w:p>
      <w:r>
        <w:rPr>
          <w:b/>
          <w:sz w:val="21"/>
        </w:rPr>
        <w:t>九、违约责任</w:t>
      </w:r>
    </w:p>
    <w:p>
      <w:pPr>
        <w:ind w:firstLine="420"/>
      </w:pPr>
      <w:r>
        <w:rPr>
          <w:sz w:val="21"/>
        </w:rPr>
        <w:t>……</w:t>
      </w:r>
    </w:p>
    <w:p>
      <w:r>
        <w:rPr>
          <w:b/>
          <w:sz w:val="21"/>
        </w:rPr>
        <w:t>十、其他条款（如有需要，甲乙双方可根据实际增加合同条款）</w:t>
      </w:r>
    </w:p>
    <w:p>
      <w:pPr>
        <w:ind w:firstLine="420"/>
      </w:pPr>
      <w:r>
        <w:rPr>
          <w:sz w:val="21"/>
        </w:rPr>
        <w:t>……</w:t>
      </w:r>
    </w:p>
    <w:p>
      <w:r>
        <w:rPr>
          <w:b/>
          <w:sz w:val="21"/>
        </w:rPr>
        <w:t>十一、合同变更</w:t>
      </w:r>
    </w:p>
    <w:p>
      <w:r>
        <w:rPr>
          <w:sz w:val="21"/>
        </w:rPr>
        <w:t>1、乙方根据现场实际情况，发现合同原计划或方案不尽合理，确实需变更原合同约定的，应及时通知甲方，并提出变更理由、修正方案及变更清单，经双方协商并签署有关文件（作为合同附件），并报政府采购监管部门同意后实施。</w:t>
      </w:r>
    </w:p>
    <w:p>
      <w:r>
        <w:rPr>
          <w:sz w:val="21"/>
        </w:rPr>
        <w:t>2、无论是按原合同要求，或是根据现场实际情况作出变更，乙方都不能免除其应承担的责任。</w:t>
      </w:r>
    </w:p>
    <w:p>
      <w:r>
        <w:rPr>
          <w:b/>
          <w:sz w:val="21"/>
        </w:rPr>
        <w:t>十二、合同解除和终止</w:t>
      </w:r>
    </w:p>
    <w:p>
      <w:r>
        <w:rPr>
          <w:sz w:val="21"/>
        </w:rPr>
        <w:t>1、合同自然终止</w:t>
      </w:r>
    </w:p>
    <w:p>
      <w:pPr>
        <w:ind w:firstLine="525"/>
      </w:pPr>
      <w:r>
        <w:rPr>
          <w:sz w:val="21"/>
        </w:rPr>
        <w:t>甲乙双方各自完成合同规定的责任和义务，合同自然终止。</w:t>
      </w:r>
    </w:p>
    <w:p>
      <w:r>
        <w:rPr>
          <w:sz w:val="21"/>
        </w:rPr>
        <w:t>2、违约违规终止合同</w:t>
      </w:r>
    </w:p>
    <w:p>
      <w:r>
        <w:rPr>
          <w:sz w:val="21"/>
        </w:rPr>
        <w:t>（</w:t>
      </w:r>
      <w:r>
        <w:rPr>
          <w:sz w:val="21"/>
        </w:rPr>
        <w:t>1）在甲方对乙方违约违规而采取的任何补救措施不受影响的情况下，甲方可向乙方发出书面的违约通知书，提出终止部分或全部合同。</w:t>
      </w:r>
    </w:p>
    <w:p>
      <w:r>
        <w:rPr>
          <w:sz w:val="21"/>
        </w:rPr>
        <w:t>（</w:t>
      </w:r>
      <w:r>
        <w:rPr>
          <w:sz w:val="21"/>
        </w:rPr>
        <w:t>2）如果乙方未能在合同规定的期限内提供服务。</w:t>
      </w:r>
    </w:p>
    <w:p>
      <w:r>
        <w:rPr>
          <w:sz w:val="21"/>
        </w:rPr>
        <w:t>（</w:t>
      </w:r>
      <w:r>
        <w:rPr>
          <w:sz w:val="21"/>
        </w:rPr>
        <w:t>3）如果乙方未能履行合同规定的其它任何义务。</w:t>
      </w:r>
    </w:p>
    <w:p>
      <w:r>
        <w:rPr>
          <w:sz w:val="21"/>
        </w:rPr>
        <w:t>（</w:t>
      </w:r>
      <w:r>
        <w:rPr>
          <w:sz w:val="21"/>
        </w:rPr>
        <w:t>4）如果甲方认为乙方在本合同的投标竞争和实施过程中有违反有关政府采购的法律、法规，涉嫌用不正当手段影响甲方采购过程，包括谎报或隐瞒事实、损害甲方利益、干扰甲方、评委、采购代理机构的招标、评标等行为。</w:t>
      </w:r>
    </w:p>
    <w:p>
      <w:r>
        <w:rPr>
          <w:sz w:val="21"/>
        </w:rPr>
        <w:t>3、因乙方破产而终止合同</w:t>
      </w:r>
    </w:p>
    <w:p>
      <w:pPr>
        <w:ind w:firstLine="420"/>
      </w:pPr>
      <w:r>
        <w:rPr>
          <w:sz w:val="21"/>
        </w:rPr>
        <w:t>如果乙方破产或无清偿能力，甲方可在任何时候以书面形式通知乙方，提出终止合同而不给乙方补偿。该合同的终止将不损害或影响甲方已经采取或将要采取的任何行动或补救措施的权利。</w:t>
      </w:r>
    </w:p>
    <w:p>
      <w:r>
        <w:rPr>
          <w:b/>
          <w:sz w:val="21"/>
        </w:rPr>
        <w:t>十三、争议的解决</w:t>
      </w:r>
    </w:p>
    <w:p>
      <w:pPr>
        <w:ind w:firstLine="420"/>
      </w:pPr>
      <w:r>
        <w:rPr>
          <w:sz w:val="21"/>
        </w:rPr>
        <w:t>合同执行过程中发生的任何争议，如双方不能通过友好协商解决，按相关法律法规处理。</w:t>
      </w:r>
    </w:p>
    <w:p>
      <w:r>
        <w:rPr>
          <w:b/>
          <w:sz w:val="21"/>
        </w:rPr>
        <w:t>十四、不可抗力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1日内向对方通报，以减轻可能给对方造成的损失，在取得有关机构的不可抗力证明或对方谅解确认后，允许延期履行或修订合同，并根据情况可部分或全部免于承担违约责任。</w:t>
      </w:r>
    </w:p>
    <w:p>
      <w:r>
        <w:rPr>
          <w:b/>
          <w:sz w:val="21"/>
        </w:rPr>
        <w:t>十五、税费</w:t>
      </w:r>
    </w:p>
    <w:p>
      <w:pPr>
        <w:ind w:firstLine="411"/>
      </w:pPr>
      <w:r>
        <w:rPr>
          <w:sz w:val="21"/>
        </w:rPr>
        <w:t>在中国境内、外发生的与本合同执行有关的一切税费均由乙方负担。</w:t>
      </w:r>
    </w:p>
    <w:p>
      <w:r>
        <w:rPr>
          <w:b/>
          <w:sz w:val="21"/>
        </w:rPr>
        <w:t>十六、其它</w:t>
      </w:r>
    </w:p>
    <w:p>
      <w:pPr>
        <w:jc w:val="both"/>
      </w:pPr>
      <w:r>
        <w:rPr>
          <w:sz w:val="21"/>
        </w:rPr>
        <w:t>1、本项目磋商文件、响应文件、成交通知书及本合同所有附件均为合同的有效组成部分，与本合同具有同等法律效力。</w:t>
      </w:r>
    </w:p>
    <w:p>
      <w:pPr>
        <w:jc w:val="both"/>
      </w:pPr>
      <w:r>
        <w:rPr>
          <w:sz w:val="21"/>
        </w:rPr>
        <w:t>2、在执行本合同的过程中，所有经双方签署确认的文件（包括会议纪要、补充协议、往来信函）即成为本合同的有效组成部分。</w:t>
      </w:r>
    </w:p>
    <w:p>
      <w:pPr>
        <w:jc w:val="both"/>
      </w:pPr>
      <w:r>
        <w:rPr>
          <w:sz w:val="21"/>
        </w:rPr>
        <w:t>3、如一方地址、电话、传真号码有变更，应在变更当日内书面通知对方，否则，应承担相应责任。</w:t>
      </w:r>
    </w:p>
    <w:p>
      <w:pPr>
        <w:jc w:val="both"/>
      </w:pPr>
      <w:r>
        <w:rPr>
          <w:sz w:val="21"/>
        </w:rPr>
        <w:t>4、除甲方事先书面同意外，乙方不得部分或全部转让其应履行的合同项下的义务。</w:t>
      </w:r>
    </w:p>
    <w:p>
      <w:r>
        <w:rPr>
          <w:b/>
          <w:sz w:val="21"/>
        </w:rPr>
        <w:t>十七、合同生效</w:t>
      </w:r>
    </w:p>
    <w:p>
      <w:pPr>
        <w:jc w:val="both"/>
      </w:pPr>
      <w:r>
        <w:rPr>
          <w:sz w:val="21"/>
        </w:rPr>
        <w:t>1、本合同在甲乙双方法定代表人或其授权代表签字盖章后生效，合同签署日期以较迟签注的日期为准。</w:t>
      </w:r>
    </w:p>
    <w:p>
      <w:pPr>
        <w:jc w:val="both"/>
      </w:pPr>
      <w:r>
        <w:rPr>
          <w:sz w:val="21"/>
        </w:rPr>
        <w:t>2、本合同一式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w:t>
      </w:r>
      <w:r>
        <w:rPr>
          <w:sz w:val="21"/>
        </w:rPr>
        <w:t>采购代理机构</w:t>
      </w:r>
      <w:r>
        <w:rPr>
          <w:sz w:val="21"/>
          <w:u w:val="single"/>
        </w:rPr>
        <w:t>1</w:t>
      </w:r>
      <w:r>
        <w:rPr>
          <w:sz w:val="21"/>
        </w:rPr>
        <w:t>份。</w:t>
      </w:r>
    </w:p>
    <w:p>
      <w:pPr>
        <w:jc w:val="both"/>
      </w:pPr>
    </w:p>
    <w:p>
      <w:r>
        <w:rPr>
          <w:b/>
          <w:sz w:val="21"/>
        </w:rPr>
        <w:t>甲方（盖章）：</w:t>
      </w:r>
      <w:r>
        <w:rPr>
          <w:b/>
          <w:sz w:val="21"/>
        </w:rPr>
        <w:t xml:space="preserve">                              </w:t>
      </w:r>
      <w:r>
        <w:rPr>
          <w:b/>
          <w:sz w:val="21"/>
        </w:rPr>
        <w:t>乙方（盖章）：</w:t>
      </w:r>
    </w:p>
    <w:p>
      <w:r>
        <w:rPr>
          <w:b/>
          <w:sz w:val="21"/>
        </w:rPr>
        <w:t>法定代表人或委托人：</w:t>
      </w:r>
      <w:r>
        <w:rPr>
          <w:b/>
          <w:sz w:val="21"/>
        </w:rPr>
        <w:t xml:space="preserve">           </w:t>
      </w:r>
      <w:r>
        <w:rPr>
          <w:b/>
          <w:sz w:val="21"/>
        </w:rPr>
        <w:t>法定代表人或委托人</w:t>
      </w:r>
      <w:r>
        <w:rPr>
          <w:b/>
          <w:sz w:val="21"/>
        </w:rPr>
        <w:t>：</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ind w:firstLine="4725"/>
      </w:pPr>
      <w:r>
        <w:rPr>
          <w:sz w:val="21"/>
        </w:rPr>
        <w:t>开户名称：</w:t>
      </w:r>
    </w:p>
    <w:p>
      <w:pPr>
        <w:ind w:firstLine="4725"/>
      </w:pPr>
      <w:r>
        <w:rPr>
          <w:sz w:val="21"/>
        </w:rPr>
        <w:t>银行账号：</w:t>
      </w:r>
    </w:p>
    <w:p>
      <w:pPr>
        <w:ind w:firstLine="4725"/>
      </w:pPr>
      <w:r>
        <w:rPr>
          <w:sz w:val="21"/>
        </w:rPr>
        <w:t>开</w:t>
      </w:r>
      <w:r>
        <w:rPr>
          <w:sz w:val="21"/>
        </w:rPr>
        <w:t>户</w:t>
      </w:r>
      <w:r>
        <w:rPr>
          <w:sz w:val="21"/>
        </w:rPr>
        <w:t>行：</w:t>
      </w:r>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445321-2022-02038</w:t>
      </w:r>
    </w:p>
    <w:p>
      <w:pPr>
        <w:jc w:val="center"/>
      </w:pPr>
      <w:r>
        <w:rPr>
          <w:b/>
          <w:sz w:val="24"/>
        </w:rPr>
        <w:t>采购项目编号：</w:t>
      </w:r>
      <w:r>
        <w:rPr>
          <w:b/>
          <w:sz w:val="24"/>
        </w:rPr>
        <w:t>YFZC22FC0150</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新兴县2021年居家和社区基本养老服务提升行动项目-居家养老上门服务</w:t>
      </w:r>
      <w:r>
        <w:rPr>
          <w:u w:val="single"/>
        </w:rPr>
        <w:t>”</w:t>
      </w:r>
      <w:r>
        <w:rPr/>
        <w:t>项目的竞争性磋商[采购项目编号为：</w:t>
      </w:r>
      <w:r>
        <w:rPr>
          <w:u w:val="single"/>
        </w:rPr>
        <w:t>YFZC22FC0150</w:t>
      </w:r>
      <w:r>
        <w:rPr/>
        <w:t>]，我方愿参与响应。</w:t>
      </w:r>
    </w:p>
    <w:p>
      <w:pPr>
        <w:ind w:firstLine="480"/>
      </w:pPr>
      <w:r>
        <w:rPr/>
        <w:t>我方确认收到贵方提供的</w:t>
      </w:r>
      <w:r>
        <w:rPr>
          <w:u w:val="single"/>
        </w:rPr>
        <w:t>“</w:t>
      </w:r>
      <w:r>
        <w:rPr>
          <w:u w:val="single"/>
        </w:rPr>
        <w:t>新兴县2021年居家和社区基本养老服务提升行动项目-居家养老上门服务</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新兴县2021年居家和社区基本养老服务提升行动项目-居家养老上门服务</w:t>
      </w:r>
      <w:r>
        <w:rPr/>
        <w:t>”项目采购[采购项目编号为</w:t>
      </w:r>
      <w:r>
        <w:rPr/>
        <w:t>YFZC22FC0150</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新兴县民政局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新兴县2021年居家和社区基本养老服务提升行动项目-居家养老上门服务</w:t>
      </w:r>
      <w:r>
        <w:rPr/>
        <w:t>（采购项目编号：</w:t>
      </w:r>
      <w:r>
        <w:rPr/>
        <w:t>YFZC22FC0150</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新兴县2021年居家和社区基本养老服务提升行动项目-居家养老上门服务</w:t>
      </w:r>
      <w:r>
        <w:rPr/>
        <w:t>”项目（采购项目编号：</w:t>
      </w:r>
      <w:r>
        <w:rPr/>
        <w:t>YFZC22FC0150</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