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445321-2022-01556</w:t>
      </w:r>
    </w:p>
    <w:p>
      <w:pPr>
        <w:jc w:val="center"/>
      </w:pPr>
      <w:r>
        <w:rPr>
          <w:b/>
          <w:sz w:val="24"/>
        </w:rPr>
        <w:t>采购项目编号：</w:t>
      </w:r>
      <w:r>
        <w:rPr>
          <w:b/>
          <w:sz w:val="24"/>
        </w:rPr>
        <w:t>YFZC22FC0112</w:t>
      </w:r>
    </w:p>
    <w:p>
      <w:pPr>
        <w:jc w:val="center"/>
      </w:pPr>
      <w:r>
        <w:rPr>
          <w:b/>
          <w:sz w:val="24"/>
        </w:rPr>
        <w:t>项目名称：</w:t>
      </w:r>
      <w:r>
        <w:rPr>
          <w:b/>
          <w:sz w:val="24"/>
        </w:rPr>
        <w:t>新兴县中医院医用织物洗涤消毒服务社会化管理项目</w:t>
      </w:r>
    </w:p>
    <w:p>
      <w:pPr>
        <w:jc w:val="center"/>
      </w:pPr>
      <w:r>
        <w:rPr>
          <w:b/>
          <w:sz w:val="24"/>
        </w:rPr>
        <w:t>采购人：</w:t>
      </w:r>
      <w:r>
        <w:rPr>
          <w:b/>
          <w:sz w:val="24"/>
        </w:rPr>
        <w:t>新兴县中医院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新兴县中医院</w:t>
      </w:r>
      <w:r>
        <w:rPr/>
        <w:t>的委托，采用</w:t>
      </w:r>
      <w:r>
        <w:rPr/>
        <w:t>竞争性磋商</w:t>
      </w:r>
      <w:r>
        <w:rPr/>
        <w:t>方式组织采购</w:t>
      </w:r>
      <w:r>
        <w:rPr/>
        <w:t>新兴县中医院医用织物洗涤消毒服务社会化管理项目</w:t>
      </w:r>
      <w:r>
        <w:rPr/>
        <w:t>。欢迎符合资格条件的供应商参加。</w:t>
      </w:r>
    </w:p>
    <w:p>
      <w:r>
        <w:rPr>
          <w:b/>
          <w:sz w:val="28"/>
        </w:rPr>
        <w:t>一.项目概述</w:t>
      </w:r>
    </w:p>
    <w:p>
      <w:r>
        <w:rPr>
          <w:b/>
          <w:sz w:val="24"/>
        </w:rPr>
        <w:t>1.名称与编号</w:t>
      </w:r>
    </w:p>
    <w:p>
      <w:pPr>
        <w:ind w:firstLine="480"/>
      </w:pPr>
      <w:r>
        <w:rPr/>
        <w:t>采购项目名称：</w:t>
      </w:r>
      <w:r>
        <w:rPr/>
        <w:t>新兴县中医院医用织物洗涤消毒服务社会化管理项目</w:t>
      </w:r>
    </w:p>
    <w:p>
      <w:pPr>
        <w:ind w:firstLine="480"/>
      </w:pPr>
      <w:r>
        <w:rPr/>
        <w:t>采购计划编号：</w:t>
      </w:r>
      <w:r>
        <w:rPr/>
        <w:t>445321-2022-01556</w:t>
      </w:r>
    </w:p>
    <w:p>
      <w:pPr>
        <w:ind w:firstLine="480"/>
      </w:pPr>
      <w:r>
        <w:rPr/>
        <w:t>采购项目编号：</w:t>
      </w:r>
      <w:r>
        <w:rPr/>
        <w:t>YFZC22FC0112</w:t>
      </w:r>
    </w:p>
    <w:p>
      <w:pPr>
        <w:ind w:firstLine="480"/>
      </w:pPr>
      <w:r>
        <w:rPr/>
        <w:t>采购方式：</w:t>
      </w:r>
      <w:r>
        <w:rPr/>
        <w:t>竞争性磋商</w:t>
      </w:r>
    </w:p>
    <w:p>
      <w:pPr>
        <w:ind w:firstLine="480"/>
      </w:pPr>
      <w:r>
        <w:rPr/>
        <w:t>预算金额：</w:t>
      </w:r>
      <w:r>
        <w:rPr/>
        <w:t>1,920,000.00</w:t>
      </w:r>
      <w:r>
        <w:rPr/>
        <w:t>元</w:t>
      </w:r>
    </w:p>
    <w:p>
      <w:r>
        <w:rPr>
          <w:b/>
          <w:sz w:val="24"/>
        </w:rPr>
        <w:t>2.项目内容及需求情况（采购项目技术规格、参数及要求）</w:t>
      </w:r>
    </w:p>
    <w:p>
      <w:pPr>
        <w:ind w:firstLine="480"/>
      </w:pPr>
    </w:p>
    <w:p/>
    <w:p>
      <w:r>
        <w:rPr/>
        <w:t>采购包1(新兴县中医院医用织物洗涤消毒服务社会化管理项目):</w:t>
      </w:r>
    </w:p>
    <w:p>
      <w:r>
        <w:rPr/>
        <w:t>采购包预算金额：1,920,000.00元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新兴县中医院医用织物洗涤消毒服务社会化管理</w:t>
            </w:r>
          </w:p>
        </w:tc>
        <w:tc>
          <w:tcPr>
            <w:tcW w:type="dxa" w:w="977"/>
          </w:tcPr>
          <w:p>
            <w:r>
              <w:rPr/>
              <w:t>1.0000(项)</w:t>
            </w:r>
          </w:p>
        </w:tc>
        <w:tc>
          <w:tcPr>
            <w:tcW w:type="dxa" w:w="977"/>
          </w:tcPr>
          <w:p>
            <w:r>
              <w:rPr/>
              <w:t>详见第二章</w:t>
            </w:r>
          </w:p>
        </w:tc>
        <w:tc>
          <w:tcPr>
            <w:tcW w:type="dxa" w:w="977"/>
          </w:tcPr>
          <w:p>
            <w:r>
              <w:rPr/>
              <w:t>1,920,000.00</w:t>
            </w:r>
          </w:p>
        </w:tc>
        <w:tc>
          <w:tcPr>
            <w:tcW w:type="dxa" w:w="977"/>
          </w:tcPr>
          <w:p>
            <w:r>
              <w:rPr/>
              <w:t>否</w:t>
            </w:r>
          </w:p>
        </w:tc>
      </w:tr>
    </w:tbl>
    <w:p/>
    <w:p>
      <w:r>
        <w:rPr/>
        <w:t>本采购包不接受联合体响应</w:t>
      </w:r>
    </w:p>
    <w:p/>
    <w:p>
      <w:r>
        <w:rPr/>
        <w:t>合同履行期限：自合同签订生效之日起2年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采购包1（新兴县中医院医用织物洗涤消毒服务社会化管理项目）：</w:t>
      </w:r>
      <w:r>
        <w:rPr/>
        <w:t>采购包整体专门面向中小企业，为预留份额的采购项目。</w:t>
      </w:r>
    </w:p>
    <w:p/>
    <w:p>
      <w:r>
        <w:rPr>
          <w:b/>
          <w:sz w:val="24"/>
        </w:rPr>
        <w:t>3.本项目特定的资格要求：</w:t>
      </w:r>
    </w:p>
    <w:p>
      <w:pPr>
        <w:ind w:firstLine="480"/>
      </w:pPr>
    </w:p>
    <w:p/>
    <w:p>
      <w:r>
        <w:rPr/>
        <w:t>采购包1（新兴县中医院医用织物洗涤消毒服务社会化管理项目）：</w:t>
      </w:r>
    </w:p>
    <w:p/>
    <w:p>
      <w:r>
        <w:rPr/>
        <w:t>1)（1）供应商须具备法律、行政法规规定的其他条件：在响应文件中提供声明函。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新兴县中医院</w:t>
      </w:r>
    </w:p>
    <w:p>
      <w:pPr>
        <w:ind w:firstLine="480"/>
      </w:pPr>
      <w:r>
        <w:rPr/>
        <w:t>地址：</w:t>
      </w:r>
      <w:r>
        <w:rPr/>
        <w:t>新兴县新城镇环城西路21号</w:t>
      </w:r>
    </w:p>
    <w:p>
      <w:pPr>
        <w:ind w:firstLine="480"/>
      </w:pPr>
      <w:r>
        <w:rPr/>
        <w:t>联系方式：</w:t>
      </w:r>
      <w:r>
        <w:rPr/>
        <w:t>李小姐 0766-2921583</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0766-2922133</w:t>
      </w:r>
    </w:p>
    <w:p>
      <w:r>
        <w:rPr>
          <w:b/>
          <w:sz w:val="24"/>
        </w:rPr>
        <w:t>3.项目联系方式</w:t>
      </w:r>
    </w:p>
    <w:p>
      <w:pPr>
        <w:ind w:firstLine="480"/>
      </w:pPr>
      <w:r>
        <w:rPr/>
        <w:t>项目联系人：</w:t>
      </w:r>
      <w:r>
        <w:rPr/>
        <w:t>简小姐</w:t>
      </w:r>
    </w:p>
    <w:p>
      <w:pPr>
        <w:ind w:firstLine="480"/>
      </w:pPr>
      <w:r>
        <w:rPr/>
        <w:t>电话：</w:t>
      </w:r>
      <w:r>
        <w:rPr/>
        <w:t>0766-2922133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w:t>
      </w:r>
      <w:r>
        <w:rPr>
          <w:b/>
          <w:sz w:val="22"/>
        </w:rPr>
        <w:t>背景</w:t>
      </w:r>
    </w:p>
    <w:p>
      <w:pPr>
        <w:ind w:firstLine="420"/>
      </w:pPr>
      <w:r>
        <w:rPr>
          <w:sz w:val="21"/>
        </w:rPr>
        <w:t>为规范医院医用织物洗涤消毒管理现状，有效降低院内感染发生率，同时腾出空间增加业务用地，促进医院专科发展，提升医院服务形象，计划实施新兴县中医院医用织物洗涤消毒服务社会化管理项目。</w:t>
      </w:r>
    </w:p>
    <w:p/>
    <w:p>
      <w:pPr>
        <w:ind w:firstLine="480"/>
      </w:pPr>
    </w:p>
    <w:p/>
    <w:p>
      <w:r>
        <w:rPr/>
        <w:t>采购包1（新兴县中医院医用织物洗涤消毒服务社会化管理项目）：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★自合同签订生效之日起2年</w:t>
            </w:r>
          </w:p>
        </w:tc>
      </w:tr>
      <w:tr>
        <w:tc>
          <w:tcPr>
            <w:tcW w:type="dxa" w:w="4153"/>
          </w:tcPr>
          <w:p>
            <w:r>
              <w:rPr/>
              <w:t>标的提供的地点</w:t>
            </w:r>
          </w:p>
        </w:tc>
        <w:tc>
          <w:tcPr>
            <w:tcW w:type="dxa" w:w="4153"/>
          </w:tcPr>
          <w:p>
            <w:pPr>
              <w:jc w:val="left"/>
            </w:pPr>
          </w:p>
          <w:p>
            <w:r>
              <w:rPr/>
              <w:t>新兴县中医院</w:t>
            </w:r>
          </w:p>
        </w:tc>
      </w:tr>
      <w:tr>
        <w:tc>
          <w:tcPr>
            <w:tcW w:type="dxa" w:w="4153"/>
          </w:tcPr>
          <w:p>
            <w:r>
              <w:rPr/>
              <w:t>响应有效期</w:t>
            </w:r>
          </w:p>
        </w:tc>
        <w:tc>
          <w:tcPr>
            <w:tcW w:type="dxa" w:w="4153"/>
          </w:tcPr>
          <w:p>
            <w:pPr>
              <w:jc w:val="left"/>
            </w:pPr>
          </w:p>
          <w:p>
            <w:r>
              <w:rPr/>
              <w:t>从提交投标（响应）文件的截止之日起60日历天</w:t>
            </w:r>
          </w:p>
        </w:tc>
      </w:tr>
      <w:tr>
        <w:tc>
          <w:tcPr>
            <w:tcW w:type="dxa" w:w="4153"/>
          </w:tcPr>
          <w:p>
            <w:r>
              <w:rPr/>
              <w:t>付款方式</w:t>
            </w:r>
          </w:p>
        </w:tc>
        <w:tc>
          <w:tcPr>
            <w:tcW w:type="dxa" w:w="4153"/>
          </w:tcPr>
          <w:p>
            <w:pPr>
              <w:jc w:val="left"/>
            </w:pPr>
          </w:p>
          <w:p/>
          <w:p/>
          <w:p>
            <w:r>
              <w:rPr/>
              <w:t>1期：支付比例100%，★（1）按月支付，成交供应商完成月度工作且经采购人考核验收并确定当月服务费后，成交供应商于每月10号前向采购人提供发票，采购人向其支付上一月度服务费。★（2）每月服务费（未扣罚前）＝成交总金额÷24个月。</w:t>
            </w:r>
          </w:p>
        </w:tc>
      </w:tr>
      <w:tr>
        <w:tc>
          <w:tcPr>
            <w:tcW w:type="dxa" w:w="4153"/>
          </w:tcPr>
          <w:p>
            <w:r>
              <w:rPr/>
              <w:t>验收要求</w:t>
            </w:r>
          </w:p>
        </w:tc>
        <w:tc>
          <w:tcPr>
            <w:tcW w:type="dxa" w:w="4153"/>
          </w:tcPr>
          <w:p>
            <w:pPr>
              <w:jc w:val="left"/>
            </w:pPr>
          </w:p>
          <w:p/>
          <w:p/>
          <w:p>
            <w:r>
              <w:rPr/>
              <w:t>1期：★（1）成交供应商提供的服务须符合《中华人民共和国传染病防治法》、《医院感染管理办法》及《医院医用织物洗涤消毒技术规范》WS/T 508-2016卫生行业标准，本项目以洗涤质量标准及医护人员患者满意度提升及织物洗涤后卫生微生物学监测达标为验收达标。 ★（2）成交供应商提供的服务须按月度通过采购人的考核与验收，详细考核内容详见“技术标准与要求”中的附件《新兴县中医院医用织物洗涤消毒服务考核评价表（   月）》。 ★（3）考核评价表：满分为100分，合格为90分（含）。经采购人考核合格的，付当月服务费全款；如当月考核评分低于合格分则该月度服务质量不合格，每低一分扣罚100元服务费。如连续3个月考核评分低于70分，采购人有权取消成交供应商的服务资格、终止合同，且采购人无须对成交供应商作任何赔偿。 （4）当服务标准无法达到采购人的要求时，采购人可拒绝验收，由此造成的损失全部由成交供应商承担。 （5）所有验收文件、检测报告、资料要提交给采购人以作留档备案。</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★报价要求:（1）供应商的报价须以人民币元为单位（小数点后可保留两位小数），总报价不得高于采购预算，否则其报价将被视为无效。 （2）总报价为含税全包价，包括医用织物洗涤消毒服务（含医用织物清点交接、运输、洗涤、烘干、消毒、熨烫、折叠、缝补、包装、检验、统计、收发、手术布类的裁剪车边等）过程中的人工费、运输费、设备费、洗涤消毒用品费、检测费、税费等完成合同规定责任和义务、达到合同目的的一切费用。</w:t>
            </w:r>
          </w:p>
          <w:p/>
          <w:p>
            <w:r>
              <w:rPr/>
              <w:t>★付款方式:（1）成交供应商凭以下有效文件向采购人申请支付： 1）成交供应商开具的每月服务费正式发票； 2）每月考核评价表（采购人与成交供应商双方检查者签名）； 3）采购人要求的其它付款资料。 （2）付款方式：采用银行转账等形式。</w:t>
            </w:r>
          </w:p>
          <w:p/>
          <w:p>
            <w:r>
              <w:rPr/>
              <w:t>其他要求:★（1）预估每月需要洗涤消毒的医用织物约70000件，服务期内成交供应商每月实际需要洗涤消毒的医用织物数量由采购人按实际情况确定，成交供应商须以中标价包干形式（如有扣罚则按扣罚后的服务费结算）完成采购人交付的任务。供应商参与本项目投标须事先预估因项目洗涤量的不确定性而造成损失的风险，并对此作出合理的报价考虑。 （2）在合同期内，成交供应商必须根据合同中的各项条款，切实履行各项职责，因成交供应商履行合同不到位或不服从指令等原因造成生命财产损失，由成交供应商独自承担其法律和经济责任，与采购人无关。</w:t>
            </w:r>
          </w:p>
          <w:p/>
          <w:p>
            <w:r>
              <w:rPr/>
              <w:t>说明:（1）“主要商务要求”中的“★”项条款为实质性条款，供应商要特别加以注意，必须逐条响应，若有一项“★”的指标未响应、负偏离或缺漏，将导致响应无效。 （2）“主要商务要求”中的非“★”项条款为一般性条款，不作为废标条款，供应商如不响应、负偏离或缺漏，将会影响供应商的评审得分。</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新兴县中医院医用织物洗涤消毒服务社会化管理</w:t>
            </w:r>
          </w:p>
        </w:tc>
        <w:tc>
          <w:tcPr>
            <w:tcW w:type="dxa" w:w="385"/>
          </w:tcPr>
          <w:p>
            <w:r>
              <w:rPr/>
              <w:t>项</w:t>
            </w:r>
          </w:p>
        </w:tc>
        <w:tc>
          <w:tcPr>
            <w:tcW w:type="dxa" w:w="769"/>
          </w:tcPr>
          <w:p>
            <w:pPr>
              <w:jc w:val="right"/>
            </w:pPr>
            <w:r>
              <w:rPr/>
              <w:t>1.0000</w:t>
            </w:r>
          </w:p>
        </w:tc>
        <w:tc>
          <w:tcPr>
            <w:tcW w:type="dxa" w:w="769"/>
          </w:tcPr>
          <w:p>
            <w:pPr>
              <w:jc w:val="right"/>
            </w:pPr>
            <w:r>
              <w:rPr/>
              <w:t>1,920,000.00</w:t>
            </w:r>
          </w:p>
        </w:tc>
        <w:tc>
          <w:tcPr>
            <w:tcW w:type="dxa" w:w="769"/>
          </w:tcPr>
          <w:p>
            <w:pPr>
              <w:jc w:val="right"/>
            </w:pPr>
            <w:r>
              <w:rPr/>
              <w:t>1,920,000.00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新兴县中医院医用织物洗涤消毒服务社会化管理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w:t>
            </w:r>
            <w:r>
              <w:rPr>
                <w:b/>
                <w:sz w:val="22"/>
              </w:rPr>
              <w:t>服务内容</w:t>
            </w:r>
          </w:p>
          <w:p>
            <w:r>
              <w:rPr>
                <w:sz w:val="21"/>
              </w:rPr>
              <w:t>成交供应商须严格执行</w:t>
            </w:r>
            <w:r>
              <w:rPr>
                <w:sz w:val="21"/>
              </w:rPr>
              <w:t>WS/T 508-2016《医院医用织物洗涤消毒技术规范》，结合新兴县中医院的实际情况和具体需求，规范实施医用织物洗涤消毒服务工作，提供包括医用织物清点交接、运输、洗涤、烘干、消毒、熨烫、折叠、缝补、包装、检验、统计、收发、手术布类的裁剪车边等服务。</w:t>
            </w:r>
          </w:p>
        </w:tc>
      </w:tr>
      <w:tr>
        <w:tc>
          <w:tcPr>
            <w:tcW w:type="dxa" w:w="2076"/>
          </w:tcPr>
          <w:p>
            <w:r>
              <w:rPr/>
              <w:t>★</w:t>
            </w:r>
          </w:p>
        </w:tc>
        <w:tc>
          <w:tcPr>
            <w:tcW w:type="dxa" w:w="415"/>
          </w:tcPr>
          <w:p>
            <w:r>
              <w:rPr/>
              <w:t>2</w:t>
            </w:r>
          </w:p>
        </w:tc>
        <w:tc>
          <w:tcPr>
            <w:tcW w:type="dxa" w:w="5814"/>
          </w:tcPr>
          <w:p>
            <w:r>
              <w:rPr>
                <w:b/>
                <w:sz w:val="22"/>
              </w:rPr>
              <w:t>（</w:t>
            </w:r>
            <w:r>
              <w:rPr>
                <w:b/>
                <w:sz w:val="22"/>
              </w:rPr>
              <w:t>2</w:t>
            </w:r>
            <w:r>
              <w:rPr>
                <w:b/>
                <w:sz w:val="22"/>
              </w:rPr>
              <w:t>）</w:t>
            </w:r>
            <w:r>
              <w:rPr>
                <w:b/>
                <w:sz w:val="22"/>
              </w:rPr>
              <w:t>总体配置要求</w:t>
            </w:r>
          </w:p>
          <w:p>
            <w:r>
              <w:rPr>
                <w:sz w:val="21"/>
              </w:rPr>
              <w:t>1</w:t>
            </w:r>
            <w:r>
              <w:rPr>
                <w:sz w:val="21"/>
              </w:rPr>
              <w:t>）</w:t>
            </w:r>
            <w:r>
              <w:rPr>
                <w:sz w:val="21"/>
              </w:rPr>
              <w:t>采购人提供洗衣机及烘干机若干台，如不足使用，成交供应商须保证洗衣机、烘干机等主要洗涤设备配置充分，能按</w:t>
            </w:r>
            <w:r>
              <w:rPr>
                <w:sz w:val="21"/>
              </w:rPr>
              <w:t>WS/T 508-2016《医院医用织物洗涤消毒技术规范》要求，将工作服类、新生儿类、感染类被服、其他被服的清洗进行专机专洗，分类专机洗涤。</w:t>
            </w:r>
          </w:p>
          <w:p>
            <w:r>
              <w:rPr>
                <w:sz w:val="21"/>
              </w:rPr>
              <w:t>2</w:t>
            </w:r>
            <w:r>
              <w:rPr>
                <w:sz w:val="21"/>
              </w:rPr>
              <w:t>）</w:t>
            </w:r>
            <w:r>
              <w:rPr>
                <w:sz w:val="21"/>
              </w:rPr>
              <w:t>洗衣场地按照规范设置清洁区、污染区、洁净被服暂存区；洗涤流程由污到洁，不交叉不逆行，设置有卫生洗手设施。</w:t>
            </w:r>
          </w:p>
          <w:p>
            <w:r>
              <w:rPr>
                <w:sz w:val="21"/>
              </w:rPr>
              <w:t>3</w:t>
            </w:r>
            <w:r>
              <w:rPr>
                <w:sz w:val="21"/>
              </w:rPr>
              <w:t>）</w:t>
            </w:r>
            <w:r>
              <w:rPr>
                <w:sz w:val="21"/>
              </w:rPr>
              <w:t>洗涤消毒用品符合国家洗涤标准。</w:t>
            </w:r>
          </w:p>
          <w:p>
            <w:r>
              <w:rPr>
                <w:sz w:val="21"/>
              </w:rPr>
              <w:t>4</w:t>
            </w:r>
            <w:r>
              <w:rPr>
                <w:sz w:val="21"/>
              </w:rPr>
              <w:t>）</w:t>
            </w:r>
            <w:r>
              <w:rPr>
                <w:sz w:val="21"/>
              </w:rPr>
              <w:t>成交供应商须有专用运输工具，能满足每天一收一送的基本要求。</w:t>
            </w:r>
          </w:p>
          <w:p>
            <w:r>
              <w:rPr>
                <w:sz w:val="21"/>
              </w:rPr>
              <w:t>5</w:t>
            </w:r>
            <w:r>
              <w:rPr>
                <w:sz w:val="21"/>
              </w:rPr>
              <w:t>）</w:t>
            </w:r>
            <w:r>
              <w:rPr>
                <w:sz w:val="21"/>
              </w:rPr>
              <w:t>服务工作人员须通过专业培训，达到上岗要求。</w:t>
            </w:r>
          </w:p>
          <w:p>
            <w:r>
              <w:rPr>
                <w:sz w:val="21"/>
              </w:rPr>
              <w:t>6</w:t>
            </w:r>
            <w:r>
              <w:rPr>
                <w:sz w:val="21"/>
              </w:rPr>
              <w:t>）</w:t>
            </w:r>
            <w:r>
              <w:rPr>
                <w:sz w:val="21"/>
              </w:rPr>
              <w:t>成交供应商须制定规范的收集、运输、分类洗涤消毒操作流程及院内贮存管理制度，特别是洗涤消毒需达到的质量要求，每半年提供第三方检测机构对医用织物洗涤后的卫生微生物检测报告，检测指标符合</w:t>
            </w:r>
            <w:r>
              <w:rPr>
                <w:sz w:val="21"/>
              </w:rPr>
              <w:t>WS/T 508-2016《医院医用织物洗涤消毒技术规范》要求。</w:t>
            </w:r>
          </w:p>
        </w:tc>
      </w:tr>
      <w:tr>
        <w:tc>
          <w:tcPr>
            <w:tcW w:type="dxa" w:w="2076"/>
          </w:tcPr>
          <w:p>
            <w:r>
              <w:rPr/>
              <w:t>★</w:t>
            </w:r>
          </w:p>
        </w:tc>
        <w:tc>
          <w:tcPr>
            <w:tcW w:type="dxa" w:w="415"/>
          </w:tcPr>
          <w:p>
            <w:r>
              <w:rPr/>
              <w:t>3</w:t>
            </w:r>
          </w:p>
        </w:tc>
        <w:tc>
          <w:tcPr>
            <w:tcW w:type="dxa" w:w="5814"/>
          </w:tcPr>
          <w:p>
            <w:r>
              <w:rPr>
                <w:b/>
                <w:sz w:val="22"/>
              </w:rPr>
              <w:t>（</w:t>
            </w:r>
            <w:r>
              <w:rPr>
                <w:b/>
                <w:sz w:val="22"/>
              </w:rPr>
              <w:t>3</w:t>
            </w:r>
            <w:r>
              <w:rPr>
                <w:b/>
                <w:sz w:val="22"/>
              </w:rPr>
              <w:t>）服务质量标准</w:t>
            </w:r>
          </w:p>
          <w:p>
            <w:r>
              <w:rPr>
                <w:sz w:val="21"/>
              </w:rPr>
              <w:t>1</w:t>
            </w:r>
            <w:r>
              <w:rPr>
                <w:sz w:val="21"/>
              </w:rPr>
              <w:t>）</w:t>
            </w:r>
            <w:r>
              <w:rPr>
                <w:sz w:val="21"/>
              </w:rPr>
              <w:t>洗涤、烘干质量标准</w:t>
            </w:r>
          </w:p>
          <w:tbl>
            <w:tblPr>
              <w:tblBorders>
                <w:top w:val="none" w:color="000000" w:sz="4"/>
                <w:left w:val="none" w:color="000000" w:sz="4"/>
                <w:bottom w:val="none" w:color="000000" w:sz="4"/>
                <w:right w:val="none" w:color="000000" w:sz="4"/>
                <w:insideH w:val="none"/>
                <w:insideV w:val="none"/>
              </w:tblBorders>
            </w:tblPr>
            <w:tblGrid>
              <w:gridCol w:w="566"/>
              <w:gridCol w:w="1252"/>
              <w:gridCol w:w="920"/>
              <w:gridCol w:w="650"/>
              <w:gridCol w:w="1228"/>
              <w:gridCol w:w="983"/>
            </w:tblGrid>
            <w:tr>
              <w:tc>
                <w:tcPr>
                  <w:tcW w:type="dxa" w:w="56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52"/>
                  <w:tcBorders>
                    <w:top w:val="single" w:color="000000" w:sz="4"/>
                    <w:left w:val="none" w:color="000000" w:sz="4"/>
                    <w:bottom w:val="single" w:color="000000" w:sz="4"/>
                    <w:right w:val="single" w:color="000000" w:sz="4"/>
                  </w:tcBorders>
                  <w:vAlign w:val="top"/>
                </w:tcPr>
                <w:p>
                  <w:pPr>
                    <w:jc w:val="center"/>
                  </w:pPr>
                  <w:r>
                    <w:rPr>
                      <w:sz w:val="21"/>
                    </w:rPr>
                    <w:t>项目</w:t>
                  </w:r>
                </w:p>
              </w:tc>
              <w:tc>
                <w:tcPr>
                  <w:tcW w:type="dxa" w:w="920"/>
                  <w:tcBorders>
                    <w:top w:val="single" w:color="000000" w:sz="4"/>
                    <w:left w:val="none" w:color="000000" w:sz="4"/>
                    <w:bottom w:val="single" w:color="000000" w:sz="4"/>
                    <w:right w:val="single" w:color="000000" w:sz="4"/>
                  </w:tcBorders>
                  <w:vAlign w:val="top"/>
                </w:tcPr>
                <w:p>
                  <w:pPr>
                    <w:jc w:val="center"/>
                  </w:pPr>
                  <w:r>
                    <w:rPr>
                      <w:sz w:val="21"/>
                    </w:rPr>
                    <w:t>标准值</w:t>
                  </w:r>
                </w:p>
              </w:tc>
              <w:tc>
                <w:tcPr>
                  <w:tcW w:type="dxa" w:w="650"/>
                  <w:tcBorders>
                    <w:top w:val="single" w:color="000000" w:sz="4"/>
                    <w:left w:val="none" w:color="000000" w:sz="4"/>
                    <w:bottom w:val="single" w:color="000000" w:sz="4"/>
                    <w:right w:val="single" w:color="000000" w:sz="4"/>
                  </w:tcBorders>
                  <w:vAlign w:val="top"/>
                </w:tcPr>
                <w:p>
                  <w:pPr>
                    <w:jc w:val="center"/>
                  </w:pPr>
                  <w:r>
                    <w:rPr>
                      <w:sz w:val="21"/>
                    </w:rPr>
                    <w:t>序号</w:t>
                  </w:r>
                </w:p>
              </w:tc>
              <w:tc>
                <w:tcPr>
                  <w:tcW w:type="dxa" w:w="1228"/>
                  <w:tcBorders>
                    <w:top w:val="single" w:color="000000" w:sz="4"/>
                    <w:left w:val="none" w:color="000000" w:sz="4"/>
                    <w:bottom w:val="single" w:color="000000" w:sz="4"/>
                    <w:right w:val="single" w:color="000000" w:sz="4"/>
                  </w:tcBorders>
                  <w:vAlign w:val="top"/>
                </w:tcPr>
                <w:p>
                  <w:pPr>
                    <w:jc w:val="center"/>
                  </w:pPr>
                  <w:r>
                    <w:rPr>
                      <w:sz w:val="21"/>
                    </w:rPr>
                    <w:t>项目</w:t>
                  </w:r>
                </w:p>
              </w:tc>
              <w:tc>
                <w:tcPr>
                  <w:tcW w:type="dxa" w:w="983"/>
                  <w:tcBorders>
                    <w:top w:val="single" w:color="000000" w:sz="4"/>
                    <w:left w:val="none" w:color="000000" w:sz="4"/>
                    <w:bottom w:val="single" w:color="000000" w:sz="4"/>
                    <w:right w:val="single" w:color="000000" w:sz="4"/>
                  </w:tcBorders>
                  <w:vAlign w:val="top"/>
                </w:tcPr>
                <w:p>
                  <w:pPr>
                    <w:jc w:val="center"/>
                  </w:pPr>
                  <w:r>
                    <w:rPr>
                      <w:sz w:val="21"/>
                    </w:rPr>
                    <w:t>标准值</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52"/>
                  <w:tcBorders>
                    <w:top w:val="none" w:color="000000" w:sz="4"/>
                    <w:left w:val="none" w:color="000000" w:sz="4"/>
                    <w:bottom w:val="single" w:color="000000" w:sz="4"/>
                    <w:right w:val="single" w:color="000000" w:sz="4"/>
                  </w:tcBorders>
                  <w:vAlign w:val="top"/>
                </w:tcPr>
                <w:p>
                  <w:pPr>
                    <w:jc w:val="center"/>
                  </w:pPr>
                  <w:r>
                    <w:rPr>
                      <w:sz w:val="21"/>
                    </w:rPr>
                    <w:t>外观</w:t>
                  </w:r>
                </w:p>
              </w:tc>
              <w:tc>
                <w:tcPr>
                  <w:tcW w:type="dxa" w:w="920"/>
                  <w:tcBorders>
                    <w:top w:val="none" w:color="000000" w:sz="4"/>
                    <w:left w:val="none" w:color="000000" w:sz="4"/>
                    <w:bottom w:val="single" w:color="000000" w:sz="4"/>
                    <w:right w:val="single" w:color="000000" w:sz="4"/>
                  </w:tcBorders>
                  <w:vAlign w:val="top"/>
                </w:tcPr>
                <w:p>
                  <w:pPr>
                    <w:jc w:val="center"/>
                  </w:pPr>
                  <w:r>
                    <w:rPr>
                      <w:sz w:val="21"/>
                    </w:rPr>
                    <w:t>无污渍</w:t>
                  </w:r>
                </w:p>
              </w:tc>
              <w:tc>
                <w:tcPr>
                  <w:tcW w:type="dxa" w:w="650"/>
                  <w:tcBorders>
                    <w:top w:val="none" w:color="000000" w:sz="4"/>
                    <w:left w:val="none" w:color="000000" w:sz="4"/>
                    <w:bottom w:val="single" w:color="000000" w:sz="4"/>
                    <w:right w:val="single" w:color="000000" w:sz="4"/>
                  </w:tcBorders>
                  <w:vAlign w:val="top"/>
                </w:tcPr>
                <w:p>
                  <w:pPr>
                    <w:jc w:val="center"/>
                  </w:pPr>
                  <w:r>
                    <w:rPr>
                      <w:sz w:val="21"/>
                    </w:rPr>
                    <w:t>7</w:t>
                  </w:r>
                </w:p>
              </w:tc>
              <w:tc>
                <w:tcPr>
                  <w:tcW w:type="dxa" w:w="1228"/>
                  <w:tcBorders>
                    <w:top w:val="none" w:color="000000" w:sz="4"/>
                    <w:left w:val="none" w:color="000000" w:sz="4"/>
                    <w:bottom w:val="single" w:color="000000" w:sz="4"/>
                    <w:right w:val="single" w:color="000000" w:sz="4"/>
                  </w:tcBorders>
                  <w:vAlign w:val="top"/>
                </w:tcPr>
                <w:p>
                  <w:pPr>
                    <w:jc w:val="center"/>
                  </w:pPr>
                  <w:r>
                    <w:rPr>
                      <w:sz w:val="21"/>
                    </w:rPr>
                    <w:t>白度</w:t>
                  </w:r>
                </w:p>
              </w:tc>
              <w:tc>
                <w:tcPr>
                  <w:tcW w:type="dxa" w:w="983"/>
                  <w:tcBorders>
                    <w:top w:val="none" w:color="000000" w:sz="4"/>
                    <w:left w:val="none" w:color="000000" w:sz="4"/>
                    <w:bottom w:val="single" w:color="000000" w:sz="4"/>
                    <w:right w:val="single" w:color="000000" w:sz="4"/>
                  </w:tcBorders>
                  <w:vAlign w:val="top"/>
                </w:tcPr>
                <w:p>
                  <w:pPr>
                    <w:jc w:val="center"/>
                  </w:pPr>
                  <w:r>
                    <w:rPr>
                      <w:sz w:val="21"/>
                    </w:rPr>
                    <w:t>≥85</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52"/>
                  <w:tcBorders>
                    <w:top w:val="none" w:color="000000" w:sz="4"/>
                    <w:left w:val="none" w:color="000000" w:sz="4"/>
                    <w:bottom w:val="single" w:color="000000" w:sz="4"/>
                    <w:right w:val="single" w:color="000000" w:sz="4"/>
                  </w:tcBorders>
                  <w:vAlign w:val="top"/>
                </w:tcPr>
                <w:p>
                  <w:pPr>
                    <w:jc w:val="center"/>
                  </w:pPr>
                  <w:r>
                    <w:rPr>
                      <w:sz w:val="21"/>
                    </w:rPr>
                    <w:t>颜色</w:t>
                  </w:r>
                </w:p>
              </w:tc>
              <w:tc>
                <w:tcPr>
                  <w:tcW w:type="dxa" w:w="920"/>
                  <w:tcBorders>
                    <w:top w:val="none" w:color="000000" w:sz="4"/>
                    <w:left w:val="none" w:color="000000" w:sz="4"/>
                    <w:bottom w:val="single" w:color="000000" w:sz="4"/>
                    <w:right w:val="single" w:color="000000" w:sz="4"/>
                  </w:tcBorders>
                  <w:vAlign w:val="top"/>
                </w:tcPr>
                <w:p>
                  <w:pPr>
                    <w:jc w:val="center"/>
                  </w:pPr>
                  <w:r>
                    <w:rPr>
                      <w:sz w:val="21"/>
                    </w:rPr>
                    <w:t>无串色</w:t>
                  </w:r>
                </w:p>
              </w:tc>
              <w:tc>
                <w:tcPr>
                  <w:tcW w:type="dxa" w:w="650"/>
                  <w:tcBorders>
                    <w:top w:val="none" w:color="000000" w:sz="4"/>
                    <w:left w:val="none" w:color="000000" w:sz="4"/>
                    <w:bottom w:val="single" w:color="000000" w:sz="4"/>
                    <w:right w:val="single" w:color="000000" w:sz="4"/>
                  </w:tcBorders>
                  <w:vAlign w:val="top"/>
                </w:tcPr>
                <w:p>
                  <w:pPr>
                    <w:jc w:val="center"/>
                  </w:pPr>
                  <w:r>
                    <w:rPr>
                      <w:sz w:val="21"/>
                    </w:rPr>
                    <w:t>8</w:t>
                  </w:r>
                </w:p>
              </w:tc>
              <w:tc>
                <w:tcPr>
                  <w:tcW w:type="dxa" w:w="1228"/>
                  <w:tcBorders>
                    <w:top w:val="none" w:color="000000" w:sz="4"/>
                    <w:left w:val="none" w:color="000000" w:sz="4"/>
                    <w:bottom w:val="single" w:color="000000" w:sz="4"/>
                    <w:right w:val="single" w:color="000000" w:sz="4"/>
                  </w:tcBorders>
                  <w:vAlign w:val="top"/>
                </w:tcPr>
                <w:p>
                  <w:pPr>
                    <w:jc w:val="center"/>
                  </w:pPr>
                  <w:r>
                    <w:rPr>
                      <w:sz w:val="21"/>
                    </w:rPr>
                    <w:t>PH值</w:t>
                  </w:r>
                </w:p>
              </w:tc>
              <w:tc>
                <w:tcPr>
                  <w:tcW w:type="dxa" w:w="983"/>
                  <w:tcBorders>
                    <w:top w:val="none" w:color="000000" w:sz="4"/>
                    <w:left w:val="none" w:color="000000" w:sz="4"/>
                    <w:bottom w:val="single" w:color="000000" w:sz="4"/>
                    <w:right w:val="single" w:color="000000" w:sz="4"/>
                  </w:tcBorders>
                  <w:vAlign w:val="top"/>
                </w:tcPr>
                <w:p>
                  <w:pPr>
                    <w:jc w:val="center"/>
                  </w:pPr>
                  <w:r>
                    <w:rPr>
                      <w:sz w:val="21"/>
                    </w:rPr>
                    <w:t>6.5—7.0</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52"/>
                  <w:tcBorders>
                    <w:top w:val="none" w:color="000000" w:sz="4"/>
                    <w:left w:val="none" w:color="000000" w:sz="4"/>
                    <w:bottom w:val="single" w:color="000000" w:sz="4"/>
                    <w:right w:val="single" w:color="000000" w:sz="4"/>
                  </w:tcBorders>
                  <w:vAlign w:val="top"/>
                </w:tcPr>
                <w:p>
                  <w:pPr>
                    <w:jc w:val="center"/>
                  </w:pPr>
                  <w:r>
                    <w:rPr>
                      <w:sz w:val="21"/>
                    </w:rPr>
                    <w:t>气味</w:t>
                  </w:r>
                </w:p>
              </w:tc>
              <w:tc>
                <w:tcPr>
                  <w:tcW w:type="dxa" w:w="920"/>
                  <w:tcBorders>
                    <w:top w:val="none" w:color="000000" w:sz="4"/>
                    <w:left w:val="none" w:color="000000" w:sz="4"/>
                    <w:bottom w:val="single" w:color="000000" w:sz="4"/>
                    <w:right w:val="single" w:color="000000" w:sz="4"/>
                  </w:tcBorders>
                  <w:vAlign w:val="top"/>
                </w:tcPr>
                <w:p>
                  <w:pPr>
                    <w:jc w:val="center"/>
                  </w:pPr>
                  <w:r>
                    <w:rPr>
                      <w:sz w:val="21"/>
                    </w:rPr>
                    <w:t>无异味</w:t>
                  </w:r>
                </w:p>
              </w:tc>
              <w:tc>
                <w:tcPr>
                  <w:tcW w:type="dxa" w:w="650"/>
                  <w:tcBorders>
                    <w:top w:val="none" w:color="000000" w:sz="4"/>
                    <w:left w:val="none" w:color="000000" w:sz="4"/>
                    <w:bottom w:val="single" w:color="000000" w:sz="4"/>
                    <w:right w:val="single" w:color="000000" w:sz="4"/>
                  </w:tcBorders>
                  <w:vAlign w:val="top"/>
                </w:tcPr>
                <w:p>
                  <w:pPr>
                    <w:jc w:val="center"/>
                  </w:pPr>
                  <w:r>
                    <w:rPr>
                      <w:sz w:val="21"/>
                    </w:rPr>
                    <w:t>9</w:t>
                  </w:r>
                </w:p>
              </w:tc>
              <w:tc>
                <w:tcPr>
                  <w:tcW w:type="dxa" w:w="1228"/>
                  <w:tcBorders>
                    <w:top w:val="none" w:color="000000" w:sz="4"/>
                    <w:left w:val="none" w:color="000000" w:sz="4"/>
                    <w:bottom w:val="single" w:color="000000" w:sz="4"/>
                    <w:right w:val="single" w:color="000000" w:sz="4"/>
                  </w:tcBorders>
                  <w:vAlign w:val="top"/>
                </w:tcPr>
                <w:p>
                  <w:pPr>
                    <w:jc w:val="center"/>
                  </w:pPr>
                  <w:r>
                    <w:rPr>
                      <w:sz w:val="21"/>
                    </w:rPr>
                    <w:t>感染物浸泡时间</w:t>
                  </w:r>
                </w:p>
              </w:tc>
              <w:tc>
                <w:tcPr>
                  <w:tcW w:type="dxa" w:w="983"/>
                  <w:tcBorders>
                    <w:top w:val="none" w:color="000000" w:sz="4"/>
                    <w:left w:val="none" w:color="000000" w:sz="4"/>
                    <w:bottom w:val="single" w:color="000000" w:sz="4"/>
                    <w:right w:val="single" w:color="000000" w:sz="4"/>
                  </w:tcBorders>
                  <w:vAlign w:val="top"/>
                </w:tcPr>
                <w:p>
                  <w:pPr>
                    <w:jc w:val="center"/>
                  </w:pPr>
                  <w:r>
                    <w:rPr>
                      <w:sz w:val="21"/>
                    </w:rPr>
                    <w:t>≥60分钟</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52"/>
                  <w:tcBorders>
                    <w:top w:val="none" w:color="000000" w:sz="4"/>
                    <w:left w:val="none" w:color="000000" w:sz="4"/>
                    <w:bottom w:val="single" w:color="000000" w:sz="4"/>
                    <w:right w:val="single" w:color="000000" w:sz="4"/>
                  </w:tcBorders>
                  <w:vAlign w:val="top"/>
                </w:tcPr>
                <w:p>
                  <w:pPr>
                    <w:jc w:val="center"/>
                  </w:pPr>
                  <w:r>
                    <w:rPr>
                      <w:sz w:val="21"/>
                    </w:rPr>
                    <w:t>表面</w:t>
                  </w:r>
                </w:p>
              </w:tc>
              <w:tc>
                <w:tcPr>
                  <w:tcW w:type="dxa" w:w="920"/>
                  <w:tcBorders>
                    <w:top w:val="none" w:color="000000" w:sz="4"/>
                    <w:left w:val="none" w:color="000000" w:sz="4"/>
                    <w:bottom w:val="single" w:color="000000" w:sz="4"/>
                    <w:right w:val="single" w:color="000000" w:sz="4"/>
                  </w:tcBorders>
                  <w:vAlign w:val="top"/>
                </w:tcPr>
                <w:p>
                  <w:pPr>
                    <w:jc w:val="center"/>
                  </w:pPr>
                  <w:r>
                    <w:rPr>
                      <w:sz w:val="21"/>
                    </w:rPr>
                    <w:t>无异物</w:t>
                  </w:r>
                </w:p>
              </w:tc>
              <w:tc>
                <w:tcPr>
                  <w:tcW w:type="dxa" w:w="650"/>
                  <w:tcBorders>
                    <w:top w:val="none" w:color="000000" w:sz="4"/>
                    <w:left w:val="none" w:color="000000" w:sz="4"/>
                    <w:bottom w:val="single" w:color="000000" w:sz="4"/>
                    <w:right w:val="single" w:color="000000" w:sz="4"/>
                  </w:tcBorders>
                  <w:vAlign w:val="top"/>
                </w:tcPr>
                <w:p>
                  <w:pPr>
                    <w:jc w:val="center"/>
                  </w:pPr>
                  <w:r>
                    <w:rPr>
                      <w:sz w:val="21"/>
                    </w:rPr>
                    <w:t>10</w:t>
                  </w:r>
                </w:p>
              </w:tc>
              <w:tc>
                <w:tcPr>
                  <w:tcW w:type="dxa" w:w="1228"/>
                  <w:tcBorders>
                    <w:top w:val="none" w:color="000000" w:sz="4"/>
                    <w:left w:val="none" w:color="000000" w:sz="4"/>
                    <w:bottom w:val="single" w:color="000000" w:sz="4"/>
                    <w:right w:val="single" w:color="000000" w:sz="4"/>
                  </w:tcBorders>
                  <w:vAlign w:val="top"/>
                </w:tcPr>
                <w:p>
                  <w:pPr>
                    <w:jc w:val="center"/>
                  </w:pPr>
                  <w:r>
                    <w:rPr>
                      <w:sz w:val="21"/>
                    </w:rPr>
                    <w:t>洗涤装载量</w:t>
                  </w:r>
                </w:p>
              </w:tc>
              <w:tc>
                <w:tcPr>
                  <w:tcW w:type="dxa" w:w="983"/>
                  <w:tcBorders>
                    <w:top w:val="none" w:color="000000" w:sz="4"/>
                    <w:left w:val="none" w:color="000000" w:sz="4"/>
                    <w:bottom w:val="single" w:color="000000" w:sz="4"/>
                    <w:right w:val="single" w:color="000000" w:sz="4"/>
                  </w:tcBorders>
                  <w:vAlign w:val="top"/>
                </w:tcPr>
                <w:p>
                  <w:pPr>
                    <w:jc w:val="center"/>
                  </w:pPr>
                  <w:r>
                    <w:rPr>
                      <w:sz w:val="21"/>
                    </w:rPr>
                    <w:t>标准值</w:t>
                  </w:r>
                  <w:r>
                    <w:rPr>
                      <w:sz w:val="21"/>
                    </w:rPr>
                    <w:t>±5KG</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52"/>
                  <w:tcBorders>
                    <w:top w:val="none" w:color="000000" w:sz="4"/>
                    <w:left w:val="none" w:color="000000" w:sz="4"/>
                    <w:bottom w:val="single" w:color="000000" w:sz="4"/>
                    <w:right w:val="single" w:color="000000" w:sz="4"/>
                  </w:tcBorders>
                  <w:vAlign w:val="top"/>
                </w:tcPr>
                <w:p>
                  <w:pPr>
                    <w:jc w:val="center"/>
                  </w:pPr>
                  <w:r>
                    <w:rPr>
                      <w:sz w:val="21"/>
                    </w:rPr>
                    <w:t>完整性</w:t>
                  </w:r>
                </w:p>
              </w:tc>
              <w:tc>
                <w:tcPr>
                  <w:tcW w:type="dxa" w:w="920"/>
                  <w:tcBorders>
                    <w:top w:val="none" w:color="000000" w:sz="4"/>
                    <w:left w:val="none" w:color="000000" w:sz="4"/>
                    <w:bottom w:val="single" w:color="000000" w:sz="4"/>
                    <w:right w:val="single" w:color="000000" w:sz="4"/>
                  </w:tcBorders>
                  <w:vAlign w:val="top"/>
                </w:tcPr>
                <w:p>
                  <w:pPr>
                    <w:jc w:val="center"/>
                  </w:pPr>
                  <w:r>
                    <w:rPr>
                      <w:sz w:val="21"/>
                    </w:rPr>
                    <w:t>无破损</w:t>
                  </w:r>
                </w:p>
              </w:tc>
              <w:tc>
                <w:tcPr>
                  <w:tcW w:type="dxa" w:w="650"/>
                  <w:tcBorders>
                    <w:top w:val="none" w:color="000000" w:sz="4"/>
                    <w:left w:val="none" w:color="000000" w:sz="4"/>
                    <w:bottom w:val="single" w:color="000000" w:sz="4"/>
                    <w:right w:val="single" w:color="000000" w:sz="4"/>
                  </w:tcBorders>
                  <w:vAlign w:val="top"/>
                </w:tcPr>
                <w:p>
                  <w:pPr>
                    <w:jc w:val="center"/>
                  </w:pPr>
                  <w:r>
                    <w:rPr>
                      <w:sz w:val="21"/>
                    </w:rPr>
                    <w:t>11</w:t>
                  </w:r>
                </w:p>
              </w:tc>
              <w:tc>
                <w:tcPr>
                  <w:tcW w:type="dxa" w:w="1228"/>
                  <w:tcBorders>
                    <w:top w:val="none" w:color="000000" w:sz="4"/>
                    <w:left w:val="none" w:color="000000" w:sz="4"/>
                    <w:bottom w:val="single" w:color="000000" w:sz="4"/>
                    <w:right w:val="single" w:color="000000" w:sz="4"/>
                  </w:tcBorders>
                  <w:vAlign w:val="top"/>
                </w:tcPr>
                <w:p>
                  <w:pPr>
                    <w:jc w:val="center"/>
                  </w:pPr>
                  <w:r>
                    <w:rPr>
                      <w:sz w:val="21"/>
                    </w:rPr>
                    <w:t>被服过水次数</w:t>
                  </w:r>
                </w:p>
              </w:tc>
              <w:tc>
                <w:tcPr>
                  <w:tcW w:type="dxa" w:w="983"/>
                  <w:tcBorders>
                    <w:top w:val="none" w:color="000000" w:sz="4"/>
                    <w:left w:val="none" w:color="000000" w:sz="4"/>
                    <w:bottom w:val="single" w:color="000000" w:sz="4"/>
                    <w:right w:val="single" w:color="000000" w:sz="4"/>
                  </w:tcBorders>
                  <w:vAlign w:val="top"/>
                </w:tcPr>
                <w:p>
                  <w:pPr>
                    <w:jc w:val="center"/>
                  </w:pPr>
                  <w:r>
                    <w:rPr>
                      <w:sz w:val="21"/>
                    </w:rPr>
                    <w:t>≥3次</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52"/>
                  <w:tcBorders>
                    <w:top w:val="none" w:color="000000" w:sz="4"/>
                    <w:left w:val="none" w:color="000000" w:sz="4"/>
                    <w:bottom w:val="single" w:color="000000" w:sz="4"/>
                    <w:right w:val="single" w:color="000000" w:sz="4"/>
                  </w:tcBorders>
                  <w:vAlign w:val="top"/>
                </w:tcPr>
                <w:p>
                  <w:pPr>
                    <w:jc w:val="center"/>
                  </w:pPr>
                  <w:r>
                    <w:rPr>
                      <w:sz w:val="21"/>
                    </w:rPr>
                    <w:t>干湿度</w:t>
                  </w:r>
                </w:p>
              </w:tc>
              <w:tc>
                <w:tcPr>
                  <w:tcW w:type="dxa" w:w="920"/>
                  <w:tcBorders>
                    <w:top w:val="none" w:color="000000" w:sz="4"/>
                    <w:left w:val="none" w:color="000000" w:sz="4"/>
                    <w:bottom w:val="single" w:color="000000" w:sz="4"/>
                    <w:right w:val="single" w:color="000000" w:sz="4"/>
                  </w:tcBorders>
                  <w:vAlign w:val="top"/>
                </w:tcPr>
                <w:p>
                  <w:pPr>
                    <w:jc w:val="center"/>
                  </w:pPr>
                  <w:r>
                    <w:rPr>
                      <w:sz w:val="21"/>
                    </w:rPr>
                    <w:t>≤30%</w:t>
                  </w:r>
                </w:p>
              </w:tc>
              <w:tc>
                <w:tcPr>
                  <w:tcW w:type="dxa" w:w="650"/>
                  <w:tcBorders>
                    <w:top w:val="none" w:color="000000" w:sz="4"/>
                    <w:left w:val="none" w:color="000000" w:sz="4"/>
                    <w:bottom w:val="single" w:color="000000" w:sz="4"/>
                    <w:right w:val="single" w:color="000000" w:sz="4"/>
                  </w:tcBorders>
                  <w:vAlign w:val="top"/>
                </w:tcPr>
                <w:p>
                  <w:pPr>
                    <w:jc w:val="center"/>
                  </w:pPr>
                  <w:r>
                    <w:rPr>
                      <w:sz w:val="21"/>
                    </w:rPr>
                    <w:t>12</w:t>
                  </w:r>
                </w:p>
              </w:tc>
              <w:tc>
                <w:tcPr>
                  <w:tcW w:type="dxa" w:w="1228"/>
                  <w:tcBorders>
                    <w:top w:val="none" w:color="000000" w:sz="4"/>
                    <w:left w:val="none" w:color="000000" w:sz="4"/>
                    <w:bottom w:val="single" w:color="000000" w:sz="4"/>
                    <w:right w:val="single" w:color="000000" w:sz="4"/>
                  </w:tcBorders>
                  <w:vAlign w:val="top"/>
                </w:tcPr>
                <w:p>
                  <w:pPr>
                    <w:jc w:val="center"/>
                  </w:pPr>
                  <w:r>
                    <w:rPr>
                      <w:sz w:val="21"/>
                    </w:rPr>
                    <w:t>抽查合格率</w:t>
                  </w:r>
                </w:p>
              </w:tc>
              <w:tc>
                <w:tcPr>
                  <w:tcW w:type="dxa" w:w="983"/>
                  <w:tcBorders>
                    <w:top w:val="none" w:color="000000" w:sz="4"/>
                    <w:left w:val="none" w:color="000000" w:sz="4"/>
                    <w:bottom w:val="single" w:color="000000" w:sz="4"/>
                    <w:right w:val="single" w:color="000000" w:sz="4"/>
                  </w:tcBorders>
                  <w:vAlign w:val="top"/>
                </w:tcPr>
                <w:p>
                  <w:pPr>
                    <w:jc w:val="center"/>
                  </w:pPr>
                  <w:r>
                    <w:rPr>
                      <w:sz w:val="21"/>
                    </w:rPr>
                    <w:t>≥98%</w:t>
                  </w:r>
                </w:p>
              </w:tc>
            </w:tr>
          </w:tbl>
          <w:p>
            <w:r>
              <w:rPr>
                <w:sz w:val="21"/>
              </w:rPr>
              <w:t>2</w:t>
            </w:r>
            <w:r>
              <w:rPr>
                <w:sz w:val="21"/>
              </w:rPr>
              <w:t>）</w:t>
            </w:r>
            <w:r>
              <w:rPr>
                <w:sz w:val="21"/>
              </w:rPr>
              <w:t>折衣质量标准</w:t>
            </w:r>
          </w:p>
          <w:tbl>
            <w:tblPr>
              <w:tblBorders>
                <w:top w:val="none" w:color="000000" w:sz="4"/>
                <w:left w:val="none" w:color="000000" w:sz="4"/>
                <w:bottom w:val="none" w:color="000000" w:sz="4"/>
                <w:right w:val="none" w:color="000000" w:sz="4"/>
                <w:insideH w:val="none"/>
                <w:insideV w:val="none"/>
              </w:tblBorders>
            </w:tblPr>
            <w:tblGrid>
              <w:gridCol w:w="567"/>
              <w:gridCol w:w="1242"/>
              <w:gridCol w:w="927"/>
              <w:gridCol w:w="652"/>
              <w:gridCol w:w="1227"/>
              <w:gridCol w:w="982"/>
            </w:tblGrid>
            <w:tr>
              <w:tc>
                <w:tcPr>
                  <w:tcW w:type="dxa" w:w="56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42"/>
                  <w:tcBorders>
                    <w:top w:val="single" w:color="000000" w:sz="4"/>
                    <w:left w:val="none" w:color="000000" w:sz="4"/>
                    <w:bottom w:val="single" w:color="000000" w:sz="4"/>
                    <w:right w:val="single" w:color="000000" w:sz="4"/>
                  </w:tcBorders>
                  <w:vAlign w:val="top"/>
                </w:tcPr>
                <w:p>
                  <w:pPr>
                    <w:jc w:val="center"/>
                  </w:pPr>
                  <w:r>
                    <w:rPr>
                      <w:sz w:val="21"/>
                    </w:rPr>
                    <w:t>项目</w:t>
                  </w:r>
                </w:p>
              </w:tc>
              <w:tc>
                <w:tcPr>
                  <w:tcW w:type="dxa" w:w="927"/>
                  <w:tcBorders>
                    <w:top w:val="single" w:color="000000" w:sz="4"/>
                    <w:left w:val="none" w:color="000000" w:sz="4"/>
                    <w:bottom w:val="single" w:color="000000" w:sz="4"/>
                    <w:right w:val="single" w:color="000000" w:sz="4"/>
                  </w:tcBorders>
                  <w:vAlign w:val="top"/>
                </w:tcPr>
                <w:p>
                  <w:pPr>
                    <w:jc w:val="center"/>
                  </w:pPr>
                  <w:r>
                    <w:rPr>
                      <w:sz w:val="21"/>
                    </w:rPr>
                    <w:t>标准值</w:t>
                  </w:r>
                </w:p>
              </w:tc>
              <w:tc>
                <w:tcPr>
                  <w:tcW w:type="dxa" w:w="652"/>
                  <w:tcBorders>
                    <w:top w:val="single" w:color="000000" w:sz="4"/>
                    <w:left w:val="none" w:color="000000" w:sz="4"/>
                    <w:bottom w:val="single" w:color="000000" w:sz="4"/>
                    <w:right w:val="single" w:color="000000" w:sz="4"/>
                  </w:tcBorders>
                  <w:vAlign w:val="top"/>
                </w:tcPr>
                <w:p>
                  <w:pPr>
                    <w:jc w:val="center"/>
                  </w:pPr>
                  <w:r>
                    <w:rPr>
                      <w:sz w:val="21"/>
                    </w:rPr>
                    <w:t>序号</w:t>
                  </w:r>
                </w:p>
              </w:tc>
              <w:tc>
                <w:tcPr>
                  <w:tcW w:type="dxa" w:w="1227"/>
                  <w:tcBorders>
                    <w:top w:val="single" w:color="000000" w:sz="4"/>
                    <w:left w:val="none" w:color="000000" w:sz="4"/>
                    <w:bottom w:val="single" w:color="000000" w:sz="4"/>
                    <w:right w:val="single" w:color="000000" w:sz="4"/>
                  </w:tcBorders>
                  <w:vAlign w:val="top"/>
                </w:tcPr>
                <w:p>
                  <w:pPr>
                    <w:jc w:val="center"/>
                  </w:pPr>
                  <w:r>
                    <w:rPr>
                      <w:sz w:val="21"/>
                    </w:rPr>
                    <w:t>项目</w:t>
                  </w:r>
                </w:p>
              </w:tc>
              <w:tc>
                <w:tcPr>
                  <w:tcW w:type="dxa" w:w="982"/>
                  <w:tcBorders>
                    <w:top w:val="single" w:color="000000" w:sz="4"/>
                    <w:left w:val="none" w:color="000000" w:sz="4"/>
                    <w:bottom w:val="single" w:color="000000" w:sz="4"/>
                    <w:right w:val="single" w:color="000000" w:sz="4"/>
                  </w:tcBorders>
                  <w:vAlign w:val="top"/>
                </w:tcPr>
                <w:p>
                  <w:pPr>
                    <w:jc w:val="center"/>
                  </w:pPr>
                  <w:r>
                    <w:rPr>
                      <w:sz w:val="21"/>
                    </w:rPr>
                    <w:t>标准值</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破洞、裂口、裂线</w:t>
                  </w:r>
                </w:p>
              </w:tc>
              <w:tc>
                <w:tcPr>
                  <w:tcW w:type="dxa" w:w="927"/>
                  <w:tcBorders>
                    <w:top w:val="none" w:color="000000" w:sz="4"/>
                    <w:left w:val="none" w:color="000000" w:sz="4"/>
                    <w:bottom w:val="single" w:color="000000" w:sz="4"/>
                    <w:right w:val="single" w:color="000000" w:sz="4"/>
                  </w:tcBorders>
                  <w:vAlign w:val="top"/>
                </w:tcPr>
                <w:p>
                  <w:pPr>
                    <w:jc w:val="center"/>
                  </w:pPr>
                  <w:r>
                    <w:rPr>
                      <w:sz w:val="21"/>
                    </w:rPr>
                    <w:t>＜</w:t>
                  </w:r>
                  <w:r>
                    <w:rPr>
                      <w:sz w:val="21"/>
                    </w:rPr>
                    <w:t>1厘米</w:t>
                  </w:r>
                </w:p>
              </w:tc>
              <w:tc>
                <w:tcPr>
                  <w:tcW w:type="dxa" w:w="652"/>
                  <w:tcBorders>
                    <w:top w:val="none" w:color="000000" w:sz="4"/>
                    <w:left w:val="none" w:color="000000" w:sz="4"/>
                    <w:bottom w:val="single" w:color="000000" w:sz="4"/>
                    <w:right w:val="single" w:color="000000" w:sz="4"/>
                  </w:tcBorders>
                  <w:vAlign w:val="top"/>
                </w:tcPr>
                <w:p>
                  <w:pPr>
                    <w:jc w:val="center"/>
                  </w:pPr>
                  <w:r>
                    <w:rPr>
                      <w:sz w:val="21"/>
                    </w:rPr>
                    <w:t>9</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被服干湿度</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干燥</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污渍（确定能洗掉的）</w:t>
                  </w:r>
                </w:p>
              </w:tc>
              <w:tc>
                <w:tcPr>
                  <w:tcW w:type="dxa" w:w="927"/>
                  <w:tcBorders>
                    <w:top w:val="none" w:color="000000" w:sz="4"/>
                    <w:left w:val="none" w:color="000000" w:sz="4"/>
                    <w:bottom w:val="single" w:color="000000" w:sz="4"/>
                    <w:right w:val="single" w:color="000000" w:sz="4"/>
                  </w:tcBorders>
                  <w:vAlign w:val="top"/>
                </w:tcPr>
                <w:p>
                  <w:pPr>
                    <w:jc w:val="center"/>
                  </w:pPr>
                  <w:r>
                    <w:rPr>
                      <w:sz w:val="21"/>
                    </w:rPr>
                    <w:t>＜</w:t>
                  </w:r>
                  <w:r>
                    <w:rPr>
                      <w:sz w:val="21"/>
                    </w:rPr>
                    <w:t>1厘米</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被服表面</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无异物</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扣子</w:t>
                  </w:r>
                </w:p>
              </w:tc>
              <w:tc>
                <w:tcPr>
                  <w:tcW w:type="dxa" w:w="927"/>
                  <w:tcBorders>
                    <w:top w:val="none" w:color="000000" w:sz="4"/>
                    <w:left w:val="none" w:color="000000" w:sz="4"/>
                    <w:bottom w:val="single" w:color="000000" w:sz="4"/>
                    <w:right w:val="single" w:color="000000" w:sz="4"/>
                  </w:tcBorders>
                  <w:vAlign w:val="top"/>
                </w:tcPr>
                <w:p>
                  <w:pPr>
                    <w:jc w:val="center"/>
                  </w:pPr>
                  <w:r>
                    <w:rPr>
                      <w:sz w:val="21"/>
                    </w:rPr>
                    <w:t>无损缺</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11</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打包数字</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准确</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绑带</w:t>
                  </w:r>
                </w:p>
              </w:tc>
              <w:tc>
                <w:tcPr>
                  <w:tcW w:type="dxa" w:w="927"/>
                  <w:tcBorders>
                    <w:top w:val="none" w:color="000000" w:sz="4"/>
                    <w:left w:val="none" w:color="000000" w:sz="4"/>
                    <w:bottom w:val="single" w:color="000000" w:sz="4"/>
                    <w:right w:val="single" w:color="000000" w:sz="4"/>
                  </w:tcBorders>
                  <w:vAlign w:val="top"/>
                </w:tcPr>
                <w:p>
                  <w:pPr>
                    <w:jc w:val="center"/>
                  </w:pPr>
                  <w:r>
                    <w:rPr>
                      <w:sz w:val="21"/>
                    </w:rPr>
                    <w:t>无缺失</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被服分科</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准确</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裤绳或裤带</w:t>
                  </w:r>
                </w:p>
              </w:tc>
              <w:tc>
                <w:tcPr>
                  <w:tcW w:type="dxa" w:w="927"/>
                  <w:tcBorders>
                    <w:top w:val="none" w:color="000000" w:sz="4"/>
                    <w:left w:val="none" w:color="000000" w:sz="4"/>
                    <w:bottom w:val="single" w:color="000000" w:sz="4"/>
                    <w:right w:val="single" w:color="000000" w:sz="4"/>
                  </w:tcBorders>
                  <w:vAlign w:val="top"/>
                </w:tcPr>
                <w:p>
                  <w:pPr>
                    <w:jc w:val="center"/>
                  </w:pPr>
                  <w:r>
                    <w:rPr>
                      <w:sz w:val="21"/>
                    </w:rPr>
                    <w:t>无缺失</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13</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被服分院折叠</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准确</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被服熨烫</w:t>
                  </w:r>
                </w:p>
              </w:tc>
              <w:tc>
                <w:tcPr>
                  <w:tcW w:type="dxa" w:w="927"/>
                  <w:tcBorders>
                    <w:top w:val="none" w:color="000000" w:sz="4"/>
                    <w:left w:val="none" w:color="000000" w:sz="4"/>
                    <w:bottom w:val="single" w:color="000000" w:sz="4"/>
                    <w:right w:val="single" w:color="000000" w:sz="4"/>
                  </w:tcBorders>
                  <w:vAlign w:val="top"/>
                </w:tcPr>
                <w:p>
                  <w:pPr>
                    <w:jc w:val="center"/>
                  </w:pPr>
                  <w:r>
                    <w:rPr>
                      <w:sz w:val="21"/>
                    </w:rPr>
                    <w:t>平整</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14</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缝补针脚</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均匀</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被服标识</w:t>
                  </w:r>
                </w:p>
              </w:tc>
              <w:tc>
                <w:tcPr>
                  <w:tcW w:type="dxa" w:w="927"/>
                  <w:tcBorders>
                    <w:top w:val="none" w:color="000000" w:sz="4"/>
                    <w:left w:val="none" w:color="000000" w:sz="4"/>
                    <w:bottom w:val="single" w:color="000000" w:sz="4"/>
                    <w:right w:val="single" w:color="000000" w:sz="4"/>
                  </w:tcBorders>
                  <w:vAlign w:val="top"/>
                </w:tcPr>
                <w:p>
                  <w:pPr>
                    <w:jc w:val="center"/>
                  </w:pPr>
                  <w:r>
                    <w:rPr>
                      <w:sz w:val="21"/>
                    </w:rPr>
                    <w:t>上面</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15</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补丁布修剪</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成型</w:t>
                  </w:r>
                </w:p>
              </w:tc>
            </w:tr>
            <w:tr>
              <w:tc>
                <w:tcPr>
                  <w:tcW w:type="dxa" w:w="56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42"/>
                  <w:tcBorders>
                    <w:top w:val="none" w:color="000000" w:sz="4"/>
                    <w:left w:val="none" w:color="000000" w:sz="4"/>
                    <w:bottom w:val="single" w:color="000000" w:sz="4"/>
                    <w:right w:val="single" w:color="000000" w:sz="4"/>
                  </w:tcBorders>
                  <w:vAlign w:val="top"/>
                </w:tcPr>
                <w:p>
                  <w:pPr>
                    <w:jc w:val="center"/>
                  </w:pPr>
                  <w:r>
                    <w:rPr>
                      <w:sz w:val="21"/>
                    </w:rPr>
                    <w:t>被服折叠面</w:t>
                  </w:r>
                </w:p>
              </w:tc>
              <w:tc>
                <w:tcPr>
                  <w:tcW w:type="dxa" w:w="927"/>
                  <w:tcBorders>
                    <w:top w:val="none" w:color="000000" w:sz="4"/>
                    <w:left w:val="none" w:color="000000" w:sz="4"/>
                    <w:bottom w:val="single" w:color="000000" w:sz="4"/>
                    <w:right w:val="single" w:color="000000" w:sz="4"/>
                  </w:tcBorders>
                  <w:vAlign w:val="top"/>
                </w:tcPr>
                <w:p>
                  <w:pPr>
                    <w:jc w:val="center"/>
                  </w:pPr>
                  <w:r>
                    <w:rPr>
                      <w:sz w:val="21"/>
                    </w:rPr>
                    <w:t>正面</w:t>
                  </w:r>
                </w:p>
              </w:tc>
              <w:tc>
                <w:tcPr>
                  <w:tcW w:type="dxa" w:w="652"/>
                  <w:tcBorders>
                    <w:top w:val="none" w:color="000000" w:sz="4"/>
                    <w:left w:val="none" w:color="000000" w:sz="4"/>
                    <w:bottom w:val="single" w:color="000000" w:sz="4"/>
                    <w:right w:val="single" w:color="000000" w:sz="4"/>
                  </w:tcBorders>
                  <w:vAlign w:val="top"/>
                </w:tcPr>
                <w:p>
                  <w:pPr>
                    <w:jc w:val="center"/>
                  </w:pPr>
                  <w:r>
                    <w:rPr>
                      <w:sz w:val="21"/>
                    </w:rPr>
                    <w:t>16</w:t>
                  </w:r>
                </w:p>
              </w:tc>
              <w:tc>
                <w:tcPr>
                  <w:tcW w:type="dxa" w:w="1227"/>
                  <w:tcBorders>
                    <w:top w:val="none" w:color="000000" w:sz="4"/>
                    <w:left w:val="none" w:color="000000" w:sz="4"/>
                    <w:bottom w:val="single" w:color="000000" w:sz="4"/>
                    <w:right w:val="single" w:color="000000" w:sz="4"/>
                  </w:tcBorders>
                  <w:vAlign w:val="top"/>
                </w:tcPr>
                <w:p>
                  <w:pPr>
                    <w:jc w:val="center"/>
                  </w:pPr>
                  <w:r>
                    <w:rPr>
                      <w:sz w:val="21"/>
                    </w:rPr>
                    <w:t>缝补补丁纹路、颜色</w:t>
                  </w:r>
                </w:p>
              </w:tc>
              <w:tc>
                <w:tcPr>
                  <w:tcW w:type="dxa" w:w="982"/>
                  <w:tcBorders>
                    <w:top w:val="none" w:color="000000" w:sz="4"/>
                    <w:left w:val="none" w:color="000000" w:sz="4"/>
                    <w:bottom w:val="single" w:color="000000" w:sz="4"/>
                    <w:right w:val="single" w:color="000000" w:sz="4"/>
                  </w:tcBorders>
                  <w:vAlign w:val="top"/>
                </w:tcPr>
                <w:p>
                  <w:pPr>
                    <w:jc w:val="center"/>
                  </w:pPr>
                  <w:r>
                    <w:rPr>
                      <w:sz w:val="21"/>
                    </w:rPr>
                    <w:t>一致</w:t>
                  </w:r>
                </w:p>
              </w:tc>
            </w:tr>
          </w:tbl>
          <w:p>
            <w:r>
              <w:rPr>
                <w:sz w:val="21"/>
              </w:rPr>
              <w:t>3</w:t>
            </w:r>
            <w:r>
              <w:rPr>
                <w:sz w:val="21"/>
              </w:rPr>
              <w:t>）</w:t>
            </w:r>
            <w:r>
              <w:rPr>
                <w:sz w:val="21"/>
              </w:rPr>
              <w:t>微生物控制标准</w:t>
            </w:r>
          </w:p>
          <w:tbl>
            <w:tblPr>
              <w:tblBorders>
                <w:top w:val="none" w:color="000000" w:sz="4"/>
                <w:left w:val="none" w:color="000000" w:sz="4"/>
                <w:bottom w:val="none" w:color="000000" w:sz="4"/>
                <w:right w:val="none" w:color="000000" w:sz="4"/>
                <w:insideH w:val="none"/>
                <w:insideV w:val="none"/>
              </w:tblBorders>
            </w:tblPr>
            <w:tblGrid>
              <w:gridCol w:w="2736"/>
              <w:gridCol w:w="2861"/>
            </w:tblGrid>
            <w:tr>
              <w:tc>
                <w:tcPr>
                  <w:tcW w:type="dxa" w:w="2736"/>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2861"/>
                  <w:tcBorders>
                    <w:top w:val="single" w:color="000000" w:sz="4"/>
                    <w:left w:val="none" w:color="000000" w:sz="4"/>
                    <w:bottom w:val="single" w:color="000000" w:sz="4"/>
                    <w:right w:val="single" w:color="000000" w:sz="4"/>
                  </w:tcBorders>
                  <w:vAlign w:val="top"/>
                </w:tcPr>
                <w:p>
                  <w:pPr>
                    <w:jc w:val="center"/>
                  </w:pPr>
                  <w:r>
                    <w:rPr>
                      <w:sz w:val="21"/>
                    </w:rPr>
                    <w:t>指标</w:t>
                  </w:r>
                </w:p>
              </w:tc>
            </w:tr>
            <w:tr>
              <w:tc>
                <w:tcPr>
                  <w:tcW w:type="dxa" w:w="2736"/>
                  <w:tcBorders>
                    <w:top w:val="none" w:color="000000" w:sz="4"/>
                    <w:left w:val="single" w:color="000000" w:sz="4"/>
                    <w:bottom w:val="single" w:color="000000" w:sz="4"/>
                    <w:right w:val="single" w:color="000000" w:sz="4"/>
                  </w:tcBorders>
                  <w:vAlign w:val="top"/>
                </w:tcPr>
                <w:p>
                  <w:pPr>
                    <w:jc w:val="center"/>
                  </w:pPr>
                  <w:r>
                    <w:rPr>
                      <w:sz w:val="21"/>
                    </w:rPr>
                    <w:t>细菌菌落总数（</w:t>
                  </w:r>
                  <w:r>
                    <w:rPr>
                      <w:sz w:val="21"/>
                    </w:rPr>
                    <w:t>cfu/100cm2）</w:t>
                  </w:r>
                </w:p>
              </w:tc>
              <w:tc>
                <w:tcPr>
                  <w:tcW w:type="dxa" w:w="2861"/>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2736"/>
                  <w:tcBorders>
                    <w:top w:val="none" w:color="000000" w:sz="4"/>
                    <w:left w:val="single" w:color="000000" w:sz="4"/>
                    <w:bottom w:val="single" w:color="000000" w:sz="4"/>
                    <w:right w:val="single" w:color="000000" w:sz="4"/>
                  </w:tcBorders>
                  <w:vAlign w:val="top"/>
                </w:tcPr>
                <w:p>
                  <w:pPr>
                    <w:jc w:val="center"/>
                  </w:pPr>
                  <w:r>
                    <w:rPr>
                      <w:sz w:val="21"/>
                    </w:rPr>
                    <w:t>大肠菌群</w:t>
                  </w:r>
                </w:p>
              </w:tc>
              <w:tc>
                <w:tcPr>
                  <w:tcW w:type="dxa" w:w="2861"/>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736"/>
                  <w:tcBorders>
                    <w:top w:val="none" w:color="000000" w:sz="4"/>
                    <w:left w:val="single" w:color="000000" w:sz="4"/>
                    <w:bottom w:val="single" w:color="000000" w:sz="4"/>
                    <w:right w:val="single" w:color="000000" w:sz="4"/>
                  </w:tcBorders>
                  <w:vAlign w:val="top"/>
                </w:tcPr>
                <w:p>
                  <w:pPr>
                    <w:jc w:val="center"/>
                  </w:pPr>
                  <w:r>
                    <w:rPr>
                      <w:sz w:val="21"/>
                    </w:rPr>
                    <w:t>金黄色葡萄球菌</w:t>
                  </w:r>
                </w:p>
              </w:tc>
              <w:tc>
                <w:tcPr>
                  <w:tcW w:type="dxa" w:w="2861"/>
                  <w:tcBorders>
                    <w:top w:val="none" w:color="000000" w:sz="4"/>
                    <w:left w:val="none" w:color="000000" w:sz="4"/>
                    <w:bottom w:val="single" w:color="000000" w:sz="4"/>
                    <w:right w:val="single" w:color="000000" w:sz="4"/>
                  </w:tcBorders>
                  <w:vAlign w:val="top"/>
                </w:tcPr>
                <w:p>
                  <w:pPr>
                    <w:jc w:val="center"/>
                  </w:pPr>
                  <w:r>
                    <w:rPr>
                      <w:sz w:val="21"/>
                    </w:rPr>
                    <w:t>不得检出</w:t>
                  </w:r>
                </w:p>
              </w:tc>
            </w:tr>
          </w:tbl>
        </w:tc>
      </w:tr>
      <w:tr>
        <w:tc>
          <w:tcPr>
            <w:tcW w:type="dxa" w:w="2076"/>
          </w:tcPr>
          <w:p/>
        </w:tc>
        <w:tc>
          <w:tcPr>
            <w:tcW w:type="dxa" w:w="415"/>
          </w:tcPr>
          <w:p>
            <w:r>
              <w:rPr/>
              <w:t>4</w:t>
            </w:r>
          </w:p>
        </w:tc>
        <w:tc>
          <w:tcPr>
            <w:tcW w:type="dxa" w:w="5814"/>
          </w:tcPr>
          <w:p>
            <w:r>
              <w:rPr>
                <w:b/>
                <w:sz w:val="22"/>
              </w:rPr>
              <w:t>（</w:t>
            </w:r>
            <w:r>
              <w:rPr>
                <w:b/>
                <w:sz w:val="22"/>
              </w:rPr>
              <w:t>4</w:t>
            </w:r>
            <w:r>
              <w:rPr>
                <w:b/>
                <w:sz w:val="22"/>
              </w:rPr>
              <w:t>）服务要求</w:t>
            </w:r>
          </w:p>
          <w:p>
            <w:r>
              <w:rPr>
                <w:sz w:val="21"/>
              </w:rPr>
              <w:t>1）成交供应商须保证所使用的洗涤原料无毒、环保，符合国家及行业标准。</w:t>
            </w:r>
          </w:p>
          <w:p>
            <w:r>
              <w:rPr>
                <w:sz w:val="21"/>
              </w:rPr>
              <w:t>2）成交供应商须具有洗涤医疗被服的相应厂房、洗涤设备、供水供电设施及运输设备，厂房、设备、设施及管理要符合国家环保、卫生、防疫等部门的有关要求。</w:t>
            </w:r>
          </w:p>
          <w:p>
            <w:r>
              <w:rPr>
                <w:sz w:val="21"/>
              </w:rPr>
              <w:t>3）成交供应商负责每天到医院收污衣物、送洁净衣物，收衣送衣时间由采购人和成交供应商双方协商约定，但必须要满足采购人的实际需求。</w:t>
            </w:r>
          </w:p>
          <w:p>
            <w:r>
              <w:rPr>
                <w:sz w:val="21"/>
              </w:rPr>
              <w:t>4）成交供应商须按时、按质、按量完成医院交给的洗涤任务。若因成交供应商的缘故导致衣物被服洗涤质量达不到正常清洁标准，而影响采购人被服使用和供应的，应在双方交接时提出并立即退回成交供应商返洗，填写返洗单，双方确认签名，次日送洁衣时一并送回；如出现破损、绑带脱落、量不足等情形，成交供应商应于采购人要求的时间内处理；由此产生的费用由成交供应商承担。</w:t>
            </w:r>
          </w:p>
          <w:p>
            <w:r>
              <w:rPr>
                <w:sz w:val="21"/>
              </w:rPr>
              <w:t>5）</w:t>
            </w:r>
            <w:r>
              <w:rPr>
                <w:sz w:val="21"/>
              </w:rPr>
              <w:t>采购人交付洗涤的衣物被服，成交供应商除洗干净、烘干、叠好、熨平外，还要对有破损或无钮扣的衣物被服给予缝补及补钉钮扣等工作。每半年采购人交付洗涤的衣物被服报废总量限</w:t>
            </w:r>
            <w:r>
              <w:rPr>
                <w:sz w:val="21"/>
              </w:rPr>
              <w:t>5‰件以内，报废后的衣物被服，经采购人同意后交由成交供应商作补料用。</w:t>
            </w:r>
          </w:p>
          <w:p>
            <w:r>
              <w:rPr>
                <w:sz w:val="21"/>
              </w:rPr>
              <w:t>6）洗衣单、返洗单、衣物报废单等一切单据均由成交供应商提供。</w:t>
            </w:r>
          </w:p>
          <w:p>
            <w:r>
              <w:rPr>
                <w:sz w:val="21"/>
              </w:rPr>
              <w:t>7）成交供应商所使用的运输工具，前往采购人院区载（收）医用织物时，须遵守采购人院区停车场管理规定及卸货注意事项。成交供应商在采购人场所作业时，应符合采购人相关院感控制制度，不得影响采购人形象或业务运作。成交供应商在院区内执行污衣物回收作业时，回收车需加装帆布覆盖或用污衣袋装置污布服，且不得任意将装载污衣的污衣车、污衣袋随意放置于采购人走道、电梯口或任何空间。</w:t>
            </w:r>
          </w:p>
          <w:p>
            <w:r>
              <w:rPr>
                <w:sz w:val="21"/>
              </w:rPr>
              <w:t>8）采购人可不定期到成交供应商的洗涤现场对工作质量进行监督和指导，成交供应商应无条件配合。如采购人有疑问，则由双方共同认可的机构，在双方工作人员在场监督下对衣物被服进行抽样检测。若由于成交供应商工作质量问题或失误给采购人造成重大利益损害的，成交供应商应当赔偿由此给采购人造成的损失，采购人有权随时解除合同。</w:t>
            </w:r>
          </w:p>
          <w:p>
            <w:r>
              <w:rPr>
                <w:sz w:val="21"/>
              </w:rPr>
              <w:t>9</w:t>
            </w:r>
            <w:r>
              <w:rPr>
                <w:sz w:val="21"/>
              </w:rPr>
              <w:t>）成交供应商须定期到采购人各科室和管理部门充分听取服务质量评价及洗涤工作意见，并收集问题，对出现的问题在五个工作日内处理，不断改进收送服务和洗涤工作质量。</w:t>
            </w:r>
          </w:p>
        </w:tc>
      </w:tr>
      <w:tr>
        <w:tc>
          <w:tcPr>
            <w:tcW w:type="dxa" w:w="2076"/>
          </w:tcPr>
          <w:p/>
        </w:tc>
        <w:tc>
          <w:tcPr>
            <w:tcW w:type="dxa" w:w="415"/>
          </w:tcPr>
          <w:p>
            <w:r>
              <w:rPr/>
              <w:t>5</w:t>
            </w:r>
          </w:p>
        </w:tc>
        <w:tc>
          <w:tcPr>
            <w:tcW w:type="dxa" w:w="5814"/>
          </w:tcPr>
          <w:p>
            <w:r>
              <w:rPr>
                <w:b/>
                <w:sz w:val="22"/>
              </w:rPr>
              <w:t>（</w:t>
            </w:r>
            <w:r>
              <w:rPr>
                <w:b/>
                <w:sz w:val="22"/>
              </w:rPr>
              <w:t>5</w:t>
            </w:r>
            <w:r>
              <w:rPr>
                <w:b/>
                <w:sz w:val="22"/>
              </w:rPr>
              <w:t>）人员管理要求</w:t>
            </w:r>
          </w:p>
          <w:p>
            <w:r>
              <w:rPr>
                <w:sz w:val="21"/>
              </w:rPr>
              <w:t>1</w:t>
            </w:r>
            <w:r>
              <w:rPr>
                <w:sz w:val="21"/>
              </w:rPr>
              <w:t>）</w:t>
            </w:r>
            <w:r>
              <w:rPr>
                <w:sz w:val="21"/>
              </w:rPr>
              <w:t>成交供应商须指派项目负责人，负责医用织物调度、人员指挥及工作协调等，项目负责人的工作联系电话必须每天</w:t>
            </w:r>
            <w:r>
              <w:rPr>
                <w:sz w:val="21"/>
              </w:rPr>
              <w:t>24小时畅通。</w:t>
            </w:r>
          </w:p>
          <w:p>
            <w:r>
              <w:rPr>
                <w:sz w:val="21"/>
              </w:rPr>
              <w:t>2</w:t>
            </w:r>
            <w:r>
              <w:rPr>
                <w:sz w:val="21"/>
              </w:rPr>
              <w:t>）</w:t>
            </w:r>
            <w:r>
              <w:rPr>
                <w:sz w:val="21"/>
              </w:rPr>
              <w:t>如采购人认为成交供应商指派的工作人员不适任或不称职时，有权提出更换，成交供应商须在收到书面通知后</w:t>
            </w:r>
            <w:r>
              <w:rPr>
                <w:sz w:val="21"/>
              </w:rPr>
              <w:t>10天内进行更换，不得拖延。如发现违法、违纪和向院方人员索要财物等事件，成交供应商必须立即更换人员。</w:t>
            </w:r>
          </w:p>
          <w:p>
            <w:r>
              <w:rPr>
                <w:sz w:val="21"/>
              </w:rPr>
              <w:t>3</w:t>
            </w:r>
            <w:r>
              <w:rPr>
                <w:sz w:val="21"/>
              </w:rPr>
              <w:t>）</w:t>
            </w:r>
            <w:r>
              <w:rPr>
                <w:sz w:val="21"/>
              </w:rPr>
              <w:t>成交供应商的工作人员必须穿着统一的工作服（服装制作及费用由成交供应商负责），并应遵守采购人出入门禁管制规定。</w:t>
            </w:r>
          </w:p>
          <w:p>
            <w:r>
              <w:rPr>
                <w:sz w:val="21"/>
              </w:rPr>
              <w:t>4</w:t>
            </w:r>
            <w:r>
              <w:rPr>
                <w:sz w:val="21"/>
              </w:rPr>
              <w:t>）</w:t>
            </w:r>
            <w:r>
              <w:rPr>
                <w:sz w:val="21"/>
              </w:rPr>
              <w:t>成交供应商的工作人员严禁在作业时高声喧哗、吸烟、饮酒或有违反善良风俗等影响医院形象的行为举止。</w:t>
            </w:r>
          </w:p>
        </w:tc>
      </w:tr>
      <w:tr>
        <w:tc>
          <w:tcPr>
            <w:tcW w:type="dxa" w:w="2076"/>
          </w:tcPr>
          <w:p/>
        </w:tc>
        <w:tc>
          <w:tcPr>
            <w:tcW w:type="dxa" w:w="415"/>
          </w:tcPr>
          <w:p>
            <w:r>
              <w:rPr/>
              <w:t>6</w:t>
            </w:r>
          </w:p>
        </w:tc>
        <w:tc>
          <w:tcPr>
            <w:tcW w:type="dxa" w:w="5814"/>
          </w:tcPr>
          <w:p>
            <w:r>
              <w:rPr>
                <w:b/>
              </w:rPr>
              <w:t>（6）</w:t>
            </w:r>
            <w:r>
              <w:rPr>
                <w:b/>
                <w:sz w:val="24"/>
              </w:rPr>
              <w:t>附件：</w:t>
            </w:r>
          </w:p>
          <w:p>
            <w:pPr>
              <w:jc w:val="center"/>
            </w:pPr>
            <w:r>
              <w:rPr>
                <w:b/>
                <w:sz w:val="24"/>
              </w:rPr>
              <w:t>新兴县中医院医用织物洗涤消毒服务考核评价表（</w:t>
            </w:r>
            <w:r>
              <w:rPr>
                <w:b/>
                <w:sz w:val="24"/>
              </w:rPr>
              <w:t xml:space="preserve">  </w:t>
            </w:r>
            <w:r>
              <w:rPr>
                <w:b/>
                <w:sz w:val="24"/>
              </w:rPr>
              <w:t>月）</w:t>
            </w:r>
          </w:p>
          <w:p>
            <w:pPr>
              <w:jc w:val="both"/>
            </w:pPr>
            <w:r>
              <w:rPr>
                <w:color w:val="000000"/>
                <w:sz w:val="21"/>
              </w:rPr>
              <w:t>考核部门：</w:t>
            </w:r>
            <w:r>
              <w:rPr>
                <w:color w:val="000000"/>
                <w:sz w:val="21"/>
              </w:rPr>
              <w:t xml:space="preserve">                                    </w:t>
            </w:r>
            <w:r>
              <w:rPr>
                <w:color w:val="000000"/>
                <w:sz w:val="21"/>
              </w:rPr>
              <w:t>被考核单位：</w:t>
            </w:r>
            <w:r>
              <w:rPr>
                <w:color w:val="000000"/>
                <w:sz w:val="21"/>
              </w:rPr>
              <w:t xml:space="preserve">                                    </w:t>
            </w:r>
            <w:r>
              <w:rPr/>
              <w:t xml:space="preserve"> </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tbl>
            <w:tblPr>
              <w:tblBorders>
                <w:top w:val="none" w:color="000000" w:sz="4"/>
                <w:left w:val="none" w:color="000000" w:sz="4"/>
                <w:bottom w:val="none" w:color="000000" w:sz="4"/>
                <w:right w:val="none" w:color="000000" w:sz="4"/>
                <w:insideH w:val="none"/>
                <w:insideV w:val="none"/>
              </w:tblBorders>
            </w:tblPr>
            <w:tblGrid>
              <w:gridCol w:w="405"/>
              <w:gridCol w:w="601"/>
              <w:gridCol w:w="372"/>
              <w:gridCol w:w="3366"/>
              <w:gridCol w:w="854"/>
            </w:tblGrid>
            <w:tr>
              <w:tc>
                <w:tcPr>
                  <w:tcW w:type="dxa" w:w="405"/>
                  <w:tcBorders>
                    <w:top w:val="single" w:color="000000" w:sz="4"/>
                    <w:left w:val="single" w:color="000000" w:sz="4"/>
                    <w:bottom w:val="single" w:color="000000" w:sz="4"/>
                    <w:right w:val="single" w:color="000000" w:sz="4"/>
                  </w:tcBorders>
                  <w:vAlign w:val="top"/>
                </w:tcPr>
                <w:p>
                  <w:pPr>
                    <w:jc w:val="center"/>
                  </w:pPr>
                  <w:r>
                    <w:rPr>
                      <w:b/>
                      <w:sz w:val="21"/>
                    </w:rPr>
                    <w:t>内容</w:t>
                  </w:r>
                </w:p>
              </w:tc>
              <w:tc>
                <w:tcPr>
                  <w:tcW w:type="dxa" w:w="601"/>
                  <w:tcBorders>
                    <w:top w:val="single" w:color="000000" w:sz="4"/>
                    <w:left w:val="single" w:color="000000" w:sz="4"/>
                    <w:bottom w:val="single" w:color="000000" w:sz="4"/>
                    <w:right w:val="single" w:color="000000" w:sz="4"/>
                  </w:tcBorders>
                  <w:vAlign w:val="top"/>
                </w:tcPr>
                <w:p>
                  <w:pPr>
                    <w:jc w:val="center"/>
                  </w:pPr>
                  <w:r>
                    <w:rPr>
                      <w:b/>
                      <w:sz w:val="21"/>
                    </w:rPr>
                    <w:t>指标</w:t>
                  </w:r>
                </w:p>
                <w:p>
                  <w:pPr>
                    <w:jc w:val="center"/>
                  </w:pPr>
                  <w:r>
                    <w:rPr>
                      <w:b/>
                      <w:sz w:val="21"/>
                    </w:rPr>
                    <w:t>（分值）</w:t>
                  </w:r>
                </w:p>
              </w:tc>
              <w:tc>
                <w:tcPr>
                  <w:tcW w:type="dxa" w:w="372"/>
                  <w:tcBorders>
                    <w:top w:val="single" w:color="000000" w:sz="4"/>
                    <w:left w:val="single" w:color="000000" w:sz="4"/>
                    <w:bottom w:val="single" w:color="000000" w:sz="4"/>
                    <w:right w:val="single" w:color="000000" w:sz="4"/>
                  </w:tcBorders>
                  <w:vAlign w:val="top"/>
                </w:tcPr>
                <w:p>
                  <w:pPr>
                    <w:jc w:val="center"/>
                  </w:pPr>
                  <w:r>
                    <w:rPr>
                      <w:b/>
                      <w:sz w:val="21"/>
                    </w:rPr>
                    <w:t>得分</w:t>
                  </w:r>
                </w:p>
              </w:tc>
              <w:tc>
                <w:tcPr>
                  <w:tcW w:type="dxa" w:w="3366"/>
                  <w:tcBorders>
                    <w:top w:val="single" w:color="000000" w:sz="4"/>
                    <w:left w:val="single" w:color="000000" w:sz="4"/>
                    <w:bottom w:val="single" w:color="000000" w:sz="4"/>
                    <w:right w:val="single" w:color="000000" w:sz="4"/>
                  </w:tcBorders>
                  <w:vAlign w:val="top"/>
                </w:tcPr>
                <w:p>
                  <w:pPr>
                    <w:jc w:val="center"/>
                  </w:pPr>
                  <w:r>
                    <w:rPr>
                      <w:b/>
                      <w:sz w:val="21"/>
                    </w:rPr>
                    <w:t>具体考评内容</w:t>
                  </w:r>
                </w:p>
              </w:tc>
              <w:tc>
                <w:tcPr>
                  <w:tcW w:type="dxa" w:w="854"/>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405"/>
                  <w:vMerge w:val="restart"/>
                  <w:tcBorders>
                    <w:top w:val="none" w:color="000000" w:sz="4"/>
                    <w:left w:val="single" w:color="000000" w:sz="4"/>
                    <w:bottom w:val="single" w:color="000000" w:sz="4"/>
                    <w:right w:val="single" w:color="000000" w:sz="4"/>
                  </w:tcBorders>
                  <w:vAlign w:val="top"/>
                </w:tcPr>
                <w:p>
                  <w:pPr>
                    <w:jc w:val="center"/>
                  </w:pPr>
                  <w:r>
                    <w:rPr>
                      <w:sz w:val="21"/>
                    </w:rPr>
                    <w:t>医用织物洗涤消毒服务</w:t>
                  </w:r>
                </w:p>
              </w:tc>
              <w:tc>
                <w:tcPr>
                  <w:tcW w:type="dxa" w:w="601"/>
                  <w:tcBorders>
                    <w:top w:val="none" w:color="000000" w:sz="4"/>
                    <w:left w:val="single" w:color="000000" w:sz="4"/>
                    <w:bottom w:val="single" w:color="000000" w:sz="4"/>
                    <w:right w:val="single" w:color="000000" w:sz="4"/>
                  </w:tcBorders>
                  <w:vAlign w:val="top"/>
                </w:tcPr>
                <w:p>
                  <w:pPr>
                    <w:jc w:val="center"/>
                  </w:pPr>
                  <w:r>
                    <w:rPr>
                      <w:sz w:val="21"/>
                    </w:rPr>
                    <w:t>按时配送（</w:t>
                  </w:r>
                  <w:r>
                    <w:rPr>
                      <w:sz w:val="21"/>
                    </w:rPr>
                    <w:t>30分）</w:t>
                  </w:r>
                </w:p>
              </w:tc>
              <w:tc>
                <w:tcPr>
                  <w:tcW w:type="dxa" w:w="372"/>
                  <w:tcBorders>
                    <w:top w:val="none" w:color="000000" w:sz="4"/>
                    <w:left w:val="single" w:color="000000" w:sz="4"/>
                    <w:bottom w:val="single" w:color="000000" w:sz="4"/>
                    <w:right w:val="single" w:color="000000" w:sz="4"/>
                  </w:tcBorders>
                  <w:vAlign w:val="top"/>
                </w:tcPr>
                <w:p/>
              </w:tc>
              <w:tc>
                <w:tcPr>
                  <w:tcW w:type="dxa" w:w="3366"/>
                  <w:tcBorders>
                    <w:top w:val="none" w:color="000000" w:sz="4"/>
                    <w:left w:val="single" w:color="000000" w:sz="4"/>
                    <w:bottom w:val="single" w:color="000000" w:sz="4"/>
                    <w:right w:val="single" w:color="000000" w:sz="4"/>
                  </w:tcBorders>
                  <w:vAlign w:val="top"/>
                </w:tcPr>
                <w:p>
                  <w:r>
                    <w:rPr>
                      <w:sz w:val="21"/>
                    </w:rPr>
                    <w:t>每</w:t>
                  </w:r>
                  <w:r>
                    <w:rPr>
                      <w:sz w:val="21"/>
                    </w:rPr>
                    <w:t>24小时内完成一个正常收送货往返循环周期的洗涤服务，且按时、按质、按量完成；具体收送时间严格遵守采购人和成交供应商双方协商约定的时间。</w:t>
                  </w:r>
                </w:p>
              </w:tc>
              <w:tc>
                <w:tcPr>
                  <w:tcW w:type="dxa" w:w="854"/>
                  <w:tcBorders>
                    <w:top w:val="none" w:color="000000" w:sz="4"/>
                    <w:left w:val="single" w:color="000000" w:sz="4"/>
                    <w:bottom w:val="single" w:color="000000" w:sz="4"/>
                    <w:right w:val="single" w:color="000000" w:sz="4"/>
                  </w:tcBorders>
                  <w:vAlign w:val="top"/>
                </w:tcPr>
                <w:p>
                  <w:r>
                    <w:rPr>
                      <w:sz w:val="21"/>
                    </w:rPr>
                    <w:t>每发现一次未达到要求扣</w:t>
                  </w:r>
                  <w:r>
                    <w:rPr>
                      <w:sz w:val="21"/>
                    </w:rPr>
                    <w:t>1分，扣完为止。</w:t>
                  </w:r>
                </w:p>
              </w:tc>
            </w:tr>
            <w:tr>
              <w:tc>
                <w:tcPr>
                  <w:tcW w:type="dxa" w:w="405"/>
                  <w:vMerge/>
                  <w:tcBorders>
                    <w:top w:val="none" w:color="000000" w:sz="4"/>
                    <w:left w:val="single" w:color="000000" w:sz="4"/>
                    <w:bottom w:val="single" w:color="000000" w:sz="4"/>
                    <w:right w:val="single" w:color="000000" w:sz="4"/>
                  </w:tcBorders>
                </w:tcPr>
                <w:p/>
              </w:tc>
              <w:tc>
                <w:tcPr>
                  <w:tcW w:type="dxa" w:w="601"/>
                  <w:tcBorders>
                    <w:top w:val="none" w:color="000000" w:sz="4"/>
                    <w:left w:val="single" w:color="000000" w:sz="4"/>
                    <w:bottom w:val="single" w:color="000000" w:sz="4"/>
                    <w:right w:val="single" w:color="000000" w:sz="4"/>
                  </w:tcBorders>
                  <w:vAlign w:val="top"/>
                </w:tcPr>
                <w:p>
                  <w:pPr>
                    <w:jc w:val="center"/>
                  </w:pPr>
                  <w:r>
                    <w:rPr>
                      <w:sz w:val="21"/>
                    </w:rPr>
                    <w:t>外观质量及数量达标（</w:t>
                  </w:r>
                  <w:r>
                    <w:rPr>
                      <w:sz w:val="21"/>
                    </w:rPr>
                    <w:t>30分）</w:t>
                  </w:r>
                </w:p>
              </w:tc>
              <w:tc>
                <w:tcPr>
                  <w:tcW w:type="dxa" w:w="372"/>
                  <w:tcBorders>
                    <w:top w:val="none" w:color="000000" w:sz="4"/>
                    <w:left w:val="single" w:color="000000" w:sz="4"/>
                    <w:bottom w:val="single" w:color="000000" w:sz="4"/>
                    <w:right w:val="single" w:color="000000" w:sz="4"/>
                  </w:tcBorders>
                  <w:vAlign w:val="top"/>
                </w:tcPr>
                <w:p/>
              </w:tc>
              <w:tc>
                <w:tcPr>
                  <w:tcW w:type="dxa" w:w="3366"/>
                  <w:tcBorders>
                    <w:top w:val="none" w:color="000000" w:sz="4"/>
                    <w:left w:val="single" w:color="000000" w:sz="4"/>
                    <w:bottom w:val="single" w:color="000000" w:sz="4"/>
                    <w:right w:val="single" w:color="000000" w:sz="4"/>
                  </w:tcBorders>
                  <w:vAlign w:val="top"/>
                </w:tcPr>
                <w:p>
                  <w:r>
                    <w:rPr>
                      <w:sz w:val="21"/>
                    </w:rPr>
                    <w:t>1、医用织物无被染色。</w:t>
                  </w:r>
                </w:p>
                <w:p>
                  <w:r>
                    <w:rPr>
                      <w:sz w:val="21"/>
                    </w:rPr>
                    <w:t>2、医用织物清洗后无污迹并按规定折叠分装，</w:t>
                  </w:r>
                  <w:r>
                    <w:rPr>
                      <w:sz w:val="21"/>
                    </w:rPr>
                    <w:t>被服</w:t>
                  </w:r>
                  <w:r>
                    <w:rPr>
                      <w:sz w:val="21"/>
                    </w:rPr>
                    <w:t>熨烫平整有型。</w:t>
                  </w:r>
                </w:p>
                <w:p>
                  <w:r>
                    <w:rPr>
                      <w:sz w:val="21"/>
                    </w:rPr>
                    <w:t>3、洁净医用织物送回时没有破损、掉扣、脱线、缺带子等现象。</w:t>
                  </w:r>
                </w:p>
                <w:p>
                  <w:r>
                    <w:rPr>
                      <w:sz w:val="21"/>
                    </w:rPr>
                    <w:t>4、医用织物出入库手续完备，存放整齐，摆挂有序，保管妥当。</w:t>
                  </w:r>
                </w:p>
              </w:tc>
              <w:tc>
                <w:tcPr>
                  <w:tcW w:type="dxa" w:w="854"/>
                  <w:tcBorders>
                    <w:top w:val="none" w:color="000000" w:sz="4"/>
                    <w:left w:val="single" w:color="000000" w:sz="4"/>
                    <w:bottom w:val="single" w:color="000000" w:sz="4"/>
                    <w:right w:val="single" w:color="000000" w:sz="4"/>
                  </w:tcBorders>
                  <w:vAlign w:val="top"/>
                </w:tcPr>
                <w:p>
                  <w:r>
                    <w:rPr>
                      <w:sz w:val="21"/>
                    </w:rPr>
                    <w:t>每发现</w:t>
                  </w:r>
                  <w:r>
                    <w:rPr>
                      <w:sz w:val="21"/>
                    </w:rPr>
                    <w:t>1例不符合扣</w:t>
                  </w:r>
                  <w:r>
                    <w:rPr>
                      <w:sz w:val="21"/>
                    </w:rPr>
                    <w:t>0.5</w:t>
                  </w:r>
                  <w:r>
                    <w:rPr>
                      <w:sz w:val="21"/>
                    </w:rPr>
                    <w:t>分，扣完为止。</w:t>
                  </w:r>
                </w:p>
              </w:tc>
            </w:tr>
            <w:tr>
              <w:tc>
                <w:tcPr>
                  <w:tcW w:type="dxa" w:w="405"/>
                  <w:vMerge/>
                  <w:tcBorders>
                    <w:top w:val="none" w:color="000000" w:sz="4"/>
                    <w:left w:val="single" w:color="000000" w:sz="4"/>
                    <w:bottom w:val="single" w:color="000000" w:sz="4"/>
                    <w:right w:val="single" w:color="000000" w:sz="4"/>
                  </w:tcBorders>
                </w:tcPr>
                <w:p/>
              </w:tc>
              <w:tc>
                <w:tcPr>
                  <w:tcW w:type="dxa" w:w="601"/>
                  <w:tcBorders>
                    <w:top w:val="none" w:color="000000" w:sz="4"/>
                    <w:left w:val="single" w:color="000000" w:sz="4"/>
                    <w:bottom w:val="single" w:color="000000" w:sz="4"/>
                    <w:right w:val="single" w:color="000000" w:sz="4"/>
                  </w:tcBorders>
                  <w:vAlign w:val="top"/>
                </w:tcPr>
                <w:p>
                  <w:pPr>
                    <w:jc w:val="center"/>
                  </w:pPr>
                  <w:r>
                    <w:rPr>
                      <w:sz w:val="21"/>
                    </w:rPr>
                    <w:t>洗涤消毒处理达标（</w:t>
                  </w:r>
                  <w:r>
                    <w:rPr>
                      <w:sz w:val="21"/>
                    </w:rPr>
                    <w:t>20分）</w:t>
                  </w:r>
                </w:p>
              </w:tc>
              <w:tc>
                <w:tcPr>
                  <w:tcW w:type="dxa" w:w="372"/>
                  <w:tcBorders>
                    <w:top w:val="none" w:color="000000" w:sz="4"/>
                    <w:left w:val="single" w:color="000000" w:sz="4"/>
                    <w:bottom w:val="single" w:color="000000" w:sz="4"/>
                    <w:right w:val="single" w:color="000000" w:sz="4"/>
                  </w:tcBorders>
                  <w:vAlign w:val="top"/>
                </w:tcPr>
                <w:p/>
              </w:tc>
              <w:tc>
                <w:tcPr>
                  <w:tcW w:type="dxa" w:w="3366"/>
                  <w:tcBorders>
                    <w:top w:val="none" w:color="000000" w:sz="4"/>
                    <w:left w:val="single" w:color="000000" w:sz="4"/>
                    <w:bottom w:val="single" w:color="000000" w:sz="4"/>
                    <w:right w:val="single" w:color="000000" w:sz="4"/>
                  </w:tcBorders>
                  <w:vAlign w:val="top"/>
                </w:tcPr>
                <w:p>
                  <w:r>
                    <w:rPr>
                      <w:sz w:val="21"/>
                    </w:rPr>
                    <w:t>1、洗涤消毒均符合WS/T 508-2016《医院医用织物洗涤消毒技术规范》要求。</w:t>
                  </w:r>
                </w:p>
                <w:p>
                  <w:r>
                    <w:rPr>
                      <w:sz w:val="21"/>
                    </w:rPr>
                    <w:t>2、工作人员做好个人防护措施，如穿戴防护服、手套、口罩、帽子等，不可戴污手套触碰公用设施（如按电梯、开关、门等）。</w:t>
                  </w:r>
                </w:p>
                <w:p>
                  <w:r>
                    <w:rPr>
                      <w:sz w:val="21"/>
                    </w:rPr>
                    <w:t>3、传染病患者、多耐患者的衣被用双层垃圾袋密封转运，应先消毒后洗涤，并符合院感及防疫要求。</w:t>
                  </w:r>
                </w:p>
                <w:p>
                  <w:r>
                    <w:rPr>
                      <w:sz w:val="21"/>
                    </w:rPr>
                    <w:t>4、有明显血、脓、便等污染的棉织品应先刷洗、浸泡、再洗涤。</w:t>
                  </w:r>
                </w:p>
                <w:p>
                  <w:r>
                    <w:rPr>
                      <w:sz w:val="21"/>
                    </w:rPr>
                    <w:t>5、使用的洗涤剂与消毒剂必须符合国家标准并证件齐全，经抽样化验合格。</w:t>
                  </w:r>
                </w:p>
                <w:p>
                  <w:r>
                    <w:rPr>
                      <w:sz w:val="21"/>
                    </w:rPr>
                    <w:t>6、洗涤剂的用量、消毒剂的浓度、水温、洗涤时间、漂洗时间、漂洗次数、烘干、熨烫各环节符合规范要求。</w:t>
                  </w:r>
                </w:p>
                <w:p>
                  <w:r>
                    <w:rPr>
                      <w:sz w:val="21"/>
                    </w:rPr>
                    <w:t>7、运送车辆及收送工具按污染与清洁严格分开，无混用现象，并符合院感要求。运输的车辆每次使用后应及时清洗、消毒并有登记。</w:t>
                  </w:r>
                </w:p>
              </w:tc>
              <w:tc>
                <w:tcPr>
                  <w:tcW w:type="dxa" w:w="854"/>
                  <w:tcBorders>
                    <w:top w:val="none" w:color="000000" w:sz="4"/>
                    <w:left w:val="single" w:color="000000" w:sz="4"/>
                    <w:bottom w:val="single" w:color="000000" w:sz="4"/>
                    <w:right w:val="single" w:color="000000" w:sz="4"/>
                  </w:tcBorders>
                  <w:vAlign w:val="top"/>
                </w:tcPr>
                <w:p>
                  <w:r>
                    <w:rPr>
                      <w:sz w:val="21"/>
                    </w:rPr>
                    <w:t>每发现</w:t>
                  </w:r>
                  <w:r>
                    <w:rPr>
                      <w:sz w:val="21"/>
                    </w:rPr>
                    <w:t>1例不符合扣2分，扣完为止。</w:t>
                  </w:r>
                </w:p>
              </w:tc>
            </w:tr>
            <w:tr>
              <w:tc>
                <w:tcPr>
                  <w:tcW w:type="dxa" w:w="405"/>
                  <w:vMerge/>
                  <w:tcBorders>
                    <w:top w:val="none" w:color="000000" w:sz="4"/>
                    <w:left w:val="single" w:color="000000" w:sz="4"/>
                    <w:bottom w:val="single" w:color="000000" w:sz="4"/>
                    <w:right w:val="single" w:color="000000" w:sz="4"/>
                  </w:tcBorders>
                </w:tcPr>
                <w:p/>
              </w:tc>
              <w:tc>
                <w:tcPr>
                  <w:tcW w:type="dxa" w:w="601"/>
                  <w:tcBorders>
                    <w:top w:val="none" w:color="000000" w:sz="4"/>
                    <w:left w:val="single" w:color="000000" w:sz="4"/>
                    <w:bottom w:val="single" w:color="000000" w:sz="4"/>
                    <w:right w:val="single" w:color="000000" w:sz="4"/>
                  </w:tcBorders>
                  <w:vAlign w:val="top"/>
                </w:tcPr>
                <w:p>
                  <w:pPr>
                    <w:jc w:val="center"/>
                  </w:pPr>
                  <w:r>
                    <w:rPr>
                      <w:sz w:val="21"/>
                    </w:rPr>
                    <w:t>有效投诉（</w:t>
                  </w:r>
                  <w:r>
                    <w:rPr>
                      <w:sz w:val="21"/>
                    </w:rPr>
                    <w:t>20分）</w:t>
                  </w:r>
                </w:p>
              </w:tc>
              <w:tc>
                <w:tcPr>
                  <w:tcW w:type="dxa" w:w="372"/>
                  <w:tcBorders>
                    <w:top w:val="none" w:color="000000" w:sz="4"/>
                    <w:left w:val="single" w:color="000000" w:sz="4"/>
                    <w:bottom w:val="single" w:color="000000" w:sz="4"/>
                    <w:right w:val="single" w:color="000000" w:sz="4"/>
                  </w:tcBorders>
                  <w:vAlign w:val="top"/>
                </w:tcPr>
                <w:p/>
              </w:tc>
              <w:tc>
                <w:tcPr>
                  <w:tcW w:type="dxa" w:w="3366"/>
                  <w:tcBorders>
                    <w:top w:val="none" w:color="000000" w:sz="4"/>
                    <w:left w:val="single" w:color="000000" w:sz="4"/>
                    <w:bottom w:val="single" w:color="000000" w:sz="4"/>
                    <w:right w:val="single" w:color="000000" w:sz="4"/>
                  </w:tcBorders>
                  <w:vAlign w:val="top"/>
                </w:tcPr>
                <w:p>
                  <w:r>
                    <w:rPr>
                      <w:sz w:val="21"/>
                    </w:rPr>
                    <w:t>医护人员患者有效投诉一次扣</w:t>
                  </w:r>
                  <w:r>
                    <w:rPr>
                      <w:sz w:val="21"/>
                    </w:rPr>
                    <w:t>3分，情节严重的由采购人根据实际情况处理。</w:t>
                  </w:r>
                </w:p>
              </w:tc>
              <w:tc>
                <w:tcPr>
                  <w:tcW w:type="dxa" w:w="854"/>
                  <w:tcBorders>
                    <w:top w:val="none" w:color="000000" w:sz="4"/>
                    <w:left w:val="single" w:color="000000" w:sz="4"/>
                    <w:bottom w:val="single" w:color="000000" w:sz="4"/>
                    <w:right w:val="single" w:color="000000" w:sz="4"/>
                  </w:tcBorders>
                  <w:vAlign w:val="top"/>
                </w:tcPr>
                <w:p>
                  <w:r>
                    <w:rPr>
                      <w:sz w:val="21"/>
                    </w:rPr>
                    <w:t>每发现</w:t>
                  </w:r>
                  <w:r>
                    <w:rPr>
                      <w:sz w:val="21"/>
                    </w:rPr>
                    <w:t>1例不符合扣3分，扣完为止。</w:t>
                  </w:r>
                </w:p>
              </w:tc>
            </w:tr>
            <w:tr>
              <w:tc>
                <w:tcPr>
                  <w:tcW w:type="dxa" w:w="405"/>
                  <w:tcBorders>
                    <w:top w:val="none" w:color="000000" w:sz="4"/>
                    <w:left w:val="single" w:color="000000" w:sz="4"/>
                    <w:bottom w:val="single" w:color="000000" w:sz="4"/>
                    <w:right w:val="single" w:color="000000" w:sz="4"/>
                  </w:tcBorders>
                  <w:vAlign w:val="top"/>
                </w:tcPr>
                <w:p>
                  <w:pPr>
                    <w:jc w:val="center"/>
                  </w:pPr>
                  <w:r>
                    <w:rPr>
                      <w:sz w:val="21"/>
                    </w:rPr>
                    <w:t>加分内容</w:t>
                  </w:r>
                </w:p>
              </w:tc>
              <w:tc>
                <w:tcPr>
                  <w:tcW w:type="dxa" w:w="601"/>
                  <w:tcBorders>
                    <w:top w:val="none" w:color="000000" w:sz="4"/>
                    <w:left w:val="single" w:color="000000" w:sz="4"/>
                    <w:bottom w:val="single" w:color="000000" w:sz="4"/>
                    <w:right w:val="single" w:color="000000" w:sz="4"/>
                  </w:tcBorders>
                  <w:vAlign w:val="top"/>
                </w:tcPr>
                <w:p>
                  <w:pPr>
                    <w:jc w:val="center"/>
                  </w:pPr>
                  <w:r>
                    <w:rPr>
                      <w:sz w:val="21"/>
                    </w:rPr>
                    <w:t>得到表扬（</w:t>
                  </w:r>
                  <w:r>
                    <w:rPr>
                      <w:sz w:val="21"/>
                    </w:rPr>
                    <w:t>2分）</w:t>
                  </w:r>
                </w:p>
              </w:tc>
              <w:tc>
                <w:tcPr>
                  <w:tcW w:type="dxa" w:w="372"/>
                  <w:tcBorders>
                    <w:top w:val="none" w:color="000000" w:sz="4"/>
                    <w:left w:val="single" w:color="000000" w:sz="4"/>
                    <w:bottom w:val="single" w:color="000000" w:sz="4"/>
                    <w:right w:val="single" w:color="000000" w:sz="4"/>
                  </w:tcBorders>
                  <w:vAlign w:val="top"/>
                </w:tcPr>
                <w:p/>
              </w:tc>
              <w:tc>
                <w:tcPr>
                  <w:tcW w:type="dxa" w:w="3366"/>
                  <w:tcBorders>
                    <w:top w:val="none" w:color="000000" w:sz="4"/>
                    <w:left w:val="single" w:color="000000" w:sz="4"/>
                    <w:bottom w:val="single" w:color="000000" w:sz="4"/>
                    <w:right w:val="single" w:color="000000" w:sz="4"/>
                  </w:tcBorders>
                  <w:vAlign w:val="top"/>
                </w:tcPr>
                <w:p>
                  <w:r>
                    <w:rPr>
                      <w:sz w:val="21"/>
                    </w:rPr>
                    <w:t>受到医护人员、患者、院方书面表扬。</w:t>
                  </w:r>
                </w:p>
              </w:tc>
              <w:tc>
                <w:tcPr>
                  <w:tcW w:type="dxa" w:w="854"/>
                  <w:tcBorders>
                    <w:top w:val="none" w:color="000000" w:sz="4"/>
                    <w:left w:val="single" w:color="000000" w:sz="4"/>
                    <w:bottom w:val="single" w:color="000000" w:sz="4"/>
                    <w:right w:val="single" w:color="000000" w:sz="4"/>
                  </w:tcBorders>
                  <w:vAlign w:val="top"/>
                </w:tcPr>
                <w:p>
                  <w:r>
                    <w:rPr>
                      <w:sz w:val="21"/>
                    </w:rPr>
                    <w:t>根据具体事例酌情加分。</w:t>
                  </w:r>
                </w:p>
              </w:tc>
            </w:tr>
            <w:tr>
              <w:tc>
                <w:tcPr>
                  <w:tcW w:type="dxa" w:w="1006"/>
                  <w:gridSpan w:val="2"/>
                  <w:tcBorders>
                    <w:top w:val="none" w:color="000000" w:sz="4"/>
                    <w:left w:val="single" w:color="000000" w:sz="4"/>
                    <w:bottom w:val="single" w:color="000000" w:sz="4"/>
                    <w:right w:val="single" w:color="000000" w:sz="4"/>
                  </w:tcBorders>
                  <w:vAlign w:val="top"/>
                </w:tcPr>
                <w:p>
                  <w:pPr>
                    <w:jc w:val="center"/>
                  </w:pPr>
                  <w:r>
                    <w:rPr>
                      <w:sz w:val="21"/>
                    </w:rPr>
                    <w:t>得分合计</w:t>
                  </w:r>
                </w:p>
              </w:tc>
              <w:tc>
                <w:tcPr>
                  <w:tcW w:type="dxa" w:w="372"/>
                  <w:tcBorders>
                    <w:top w:val="none" w:color="000000" w:sz="4"/>
                    <w:left w:val="single" w:color="000000" w:sz="4"/>
                    <w:bottom w:val="single" w:color="000000" w:sz="4"/>
                    <w:right w:val="single" w:color="000000" w:sz="4"/>
                  </w:tcBorders>
                  <w:vAlign w:val="top"/>
                </w:tcPr>
                <w:p>
                  <w:pPr>
                    <w:ind w:firstLine="219"/>
                    <w:jc w:val="center"/>
                  </w:pPr>
                </w:p>
              </w:tc>
              <w:tc>
                <w:tcPr>
                  <w:tcW w:type="dxa" w:w="3366"/>
                  <w:tcBorders>
                    <w:top w:val="none" w:color="000000" w:sz="4"/>
                    <w:left w:val="single" w:color="000000" w:sz="4"/>
                    <w:bottom w:val="single" w:color="000000" w:sz="4"/>
                    <w:right w:val="single" w:color="000000" w:sz="4"/>
                  </w:tcBorders>
                  <w:vAlign w:val="top"/>
                </w:tcPr>
                <w:p/>
              </w:tc>
              <w:tc>
                <w:tcPr>
                  <w:tcW w:type="dxa" w:w="854"/>
                  <w:tcBorders>
                    <w:top w:val="none" w:color="000000" w:sz="4"/>
                    <w:left w:val="single" w:color="000000" w:sz="4"/>
                    <w:bottom w:val="single" w:color="000000" w:sz="4"/>
                    <w:right w:val="single" w:color="000000" w:sz="4"/>
                  </w:tcBorders>
                  <w:vAlign w:val="top"/>
                </w:tcPr>
                <w:p/>
              </w:tc>
            </w:tr>
          </w:tbl>
          <w:p>
            <w:r>
              <w:rPr>
                <w:b/>
                <w:sz w:val="21"/>
              </w:rPr>
              <w:t>注：采购人可根据实际需要，对考核评价表进行修改完善，成交供应商必须执行。</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新兴县中医院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纸质响应文件递交要求，1、纸质响应文件递交截止时间：2022年09月14日下午15：30（注：2022年09月14日下午15：00开始受理纸质响应文件）（北京时间） 2、纸质响应文件送达地点：新兴县新城镇新洲大道南69号（城北商住区东区）第二层201室开标室 3、所有纸质响应文件必须装入密封的信封或封套。纸质响应文件的正本、副本应分别封装，并在每一信封或包装的封面上注明：项目名称、招标编号、供应商名称、联系人、联系电话、“于××年××月××日××时××分（纸质响应文件递交截止时间）之前不准启封”字样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中医院医用织物洗涤消毒服务社会化管理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采购包1（新兴县中医院医用织物洗涤消毒服务社会化管理项目）：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采购包1（新兴县中医院医用织物洗涤消毒服务社会化管理项目）：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合同包1(新兴县中医院医用织物洗涤消毒服务社会化管理项目)特定资格要求如下: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采购包整体专门面向中小企业，为预留份额的采购项目。</w:t>
            </w:r>
          </w:p>
        </w:tc>
      </w:tr>
    </w:tbl>
    <w:p/>
    <w:p>
      <w:pPr>
        <w:ind w:firstLine="480"/>
      </w:pPr>
      <w:r>
        <w:rPr/>
        <w:t>表二符合性审查表：</w:t>
      </w:r>
    </w:p>
    <w:p>
      <w:pPr>
        <w:ind w:firstLine="480"/>
      </w:pPr>
    </w:p>
    <w:p/>
    <w:p>
      <w:r>
        <w:rPr/>
        <w:t>采购包1（新兴县中医院医用织物洗涤消毒服务社会化管理项目）：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采购包1新兴县中医院医用织物洗涤消毒服务社会化管理项目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技术部分70.0分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(5.0分)</w:t>
            </w:r>
            <w:r>
              <w:rPr/>
              <w:t>，（等次分值选择：</w:t>
            </w:r>
            <w:r>
              <w:rPr/>
              <w:t>0.0;</w:t>
            </w:r>
            <w:r>
              <w:rPr/>
              <w:t>1.0;</w:t>
            </w:r>
            <w:r>
              <w:rPr/>
              <w:t>3.0;</w:t>
            </w:r>
            <w:r>
              <w:rPr/>
              <w:t>5.0;</w:t>
            </w:r>
            <w:r>
              <w:rPr/>
              <w:t>）</w:t>
            </w:r>
          </w:p>
        </w:tc>
        <w:tc>
          <w:tcPr>
            <w:tcW w:type="dxa" w:w="5076"/>
          </w:tcPr>
          <w:p>
            <w:pPr>
              <w:jc w:val="left"/>
            </w:pPr>
            <w:r>
              <w:rPr/>
              <w:t>考查各供应商对“第二章 采购需求”中“1.主要商务要求”和“2.技术标准与要求”的非“★”项条款的响应情况： （1）逐条响应，存在合理的正偏离的，得5分； （2）响应完全的，得3分； （3）响应不完全，有部分缺漏的，得1分； （4）响应缺漏严重的，得0分。</w:t>
            </w:r>
          </w:p>
        </w:tc>
      </w:tr>
      <w:tr>
        <w:tc>
          <w:tcPr>
            <w:tcW w:type="dxa" w:w="922"/>
            <w:gridSpan w:val="2"/>
            <w:vMerge/>
          </w:tcPr>
          <w:p/>
        </w:tc>
        <w:tc>
          <w:tcPr>
            <w:tcW w:type="dxa" w:w="2307"/>
          </w:tcPr>
          <w:p>
            <w:pPr>
              <w:jc w:val="left"/>
            </w:pPr>
            <w:r>
              <w:rPr/>
              <w:t>总体实施方案 (15.0分)</w:t>
            </w:r>
            <w:r>
              <w:rPr/>
              <w:t>，（等次分值选择：</w:t>
            </w:r>
            <w:r>
              <w:rPr/>
              <w:t>0.0;</w:t>
            </w:r>
            <w:r>
              <w:rPr/>
              <w:t>3.0;</w:t>
            </w:r>
            <w:r>
              <w:rPr/>
              <w:t>7.0;</w:t>
            </w:r>
            <w:r>
              <w:rPr/>
              <w:t>11.0;</w:t>
            </w:r>
            <w:r>
              <w:rPr/>
              <w:t>15.0;</w:t>
            </w:r>
            <w:r>
              <w:rPr/>
              <w:t>）</w:t>
            </w:r>
          </w:p>
        </w:tc>
        <w:tc>
          <w:tcPr>
            <w:tcW w:type="dxa" w:w="5076"/>
          </w:tcPr>
          <w:p>
            <w:pPr>
              <w:jc w:val="left"/>
            </w:pPr>
            <w:r>
              <w:rPr/>
              <w:t>根据供应商针对本项目拟定的总体实施方案（包括运输、洗涤、消毒、包装、检验和收发等）进行评分： （1）总体实施方案全面、具体、详细，具有高度的合理性、可行性，得15分； （2）总体实施方案较全面、具体、详细，合理性、可行性较高，得11分； （3）总体实施方案基本全面，详细性、合理性、可行性一般，得7分； （4）总体实施方案不全面，过于简单，合理性、可行性较差，得3分； （5）无提供方案的不得分。</w:t>
            </w:r>
          </w:p>
        </w:tc>
      </w:tr>
      <w:tr>
        <w:tc>
          <w:tcPr>
            <w:tcW w:type="dxa" w:w="922"/>
            <w:gridSpan w:val="2"/>
            <w:vMerge/>
          </w:tcPr>
          <w:p/>
        </w:tc>
        <w:tc>
          <w:tcPr>
            <w:tcW w:type="dxa" w:w="2307"/>
          </w:tcPr>
          <w:p>
            <w:pPr>
              <w:jc w:val="left"/>
            </w:pPr>
            <w:r>
              <w:rPr/>
              <w:t>洗涤工序、工艺技术流程方案 (12.0分)</w:t>
            </w:r>
            <w:r>
              <w:rPr/>
              <w:t>，（等次分值选择：</w:t>
            </w:r>
            <w:r>
              <w:rPr/>
              <w:t>0.0;</w:t>
            </w:r>
            <w:r>
              <w:rPr/>
              <w:t>3.0;</w:t>
            </w:r>
            <w:r>
              <w:rPr/>
              <w:t>6.0;</w:t>
            </w:r>
            <w:r>
              <w:rPr/>
              <w:t>9.0;</w:t>
            </w:r>
            <w:r>
              <w:rPr/>
              <w:t>12.0;</w:t>
            </w:r>
            <w:r>
              <w:rPr/>
              <w:t>）</w:t>
            </w:r>
          </w:p>
        </w:tc>
        <w:tc>
          <w:tcPr>
            <w:tcW w:type="dxa" w:w="5076"/>
          </w:tcPr>
          <w:p>
            <w:pPr>
              <w:jc w:val="left"/>
            </w:pPr>
            <w:r>
              <w:rPr/>
              <w:t>根据供应商提供的洗涤工序、工艺技术流程方案进行评分： （1）总体洗涤工序、工艺方案全面、具体、详细，具有高度的合理性、可行性，得12分； （2）总体洗涤工序、工艺方案较全面、具体、详细，合理性、可行性较高，得9分； （3）总体洗涤工序、工艺方案基本全面，详细性、合理性、可行性一般，得6分； （4）总体洗涤工序、工艺方案不全面，过于简单，合理性、可行性较差，得3分； （5）无提供方案的不得分。</w:t>
            </w:r>
          </w:p>
        </w:tc>
      </w:tr>
      <w:tr>
        <w:tc>
          <w:tcPr>
            <w:tcW w:type="dxa" w:w="922"/>
            <w:gridSpan w:val="2"/>
            <w:vMerge/>
          </w:tcPr>
          <w:p/>
        </w:tc>
        <w:tc>
          <w:tcPr>
            <w:tcW w:type="dxa" w:w="2307"/>
          </w:tcPr>
          <w:p>
            <w:pPr>
              <w:jc w:val="left"/>
            </w:pPr>
            <w:r>
              <w:rPr/>
              <w:t>质量管理水平 (12.0分)</w:t>
            </w:r>
            <w:r>
              <w:rPr/>
              <w:t>，（等次分值选择：</w:t>
            </w:r>
            <w:r>
              <w:rPr/>
              <w:t>0.0;</w:t>
            </w:r>
            <w:r>
              <w:rPr/>
              <w:t>3.0;</w:t>
            </w:r>
            <w:r>
              <w:rPr/>
              <w:t>6.0;</w:t>
            </w:r>
            <w:r>
              <w:rPr/>
              <w:t>9.0;</w:t>
            </w:r>
            <w:r>
              <w:rPr/>
              <w:t>12.0;</w:t>
            </w:r>
            <w:r>
              <w:rPr/>
              <w:t>）</w:t>
            </w:r>
          </w:p>
        </w:tc>
        <w:tc>
          <w:tcPr>
            <w:tcW w:type="dxa" w:w="5076"/>
          </w:tcPr>
          <w:p>
            <w:pPr>
              <w:jc w:val="left"/>
            </w:pPr>
            <w:r>
              <w:rPr/>
              <w:t>根据供应商提供的有关医疗洗涤的质量管理方案（包括各项规章制度、流程、操作规程等内容）进行评分： （1）制度规范严谨完善，质量控制严格，符合或优于《医院医用织物洗涤消毒技术规范》，得12分； （2）制度规范较严谨、齐全，质量控制较严格，较符合《医院医用织物洗涤消毒技术规范》，得9分； （3）制度规范基本严谨、完备，质量控制一般严格，基本符合《医院医用织物洗涤消毒技术规范》，得6分； （4）制度欠规范、不完善，质量控制欠缺严格性，勉强符合《医院医用织物洗涤消毒技术规范》，得3分； （5）无提供方案的不得分。</w:t>
            </w:r>
          </w:p>
        </w:tc>
      </w:tr>
      <w:tr>
        <w:tc>
          <w:tcPr>
            <w:tcW w:type="dxa" w:w="922"/>
            <w:gridSpan w:val="2"/>
            <w:vMerge/>
          </w:tcPr>
          <w:p/>
        </w:tc>
        <w:tc>
          <w:tcPr>
            <w:tcW w:type="dxa" w:w="2307"/>
          </w:tcPr>
          <w:p>
            <w:pPr>
              <w:jc w:val="left"/>
            </w:pPr>
            <w:r>
              <w:rPr/>
              <w:t>应急服务方案 (12.0分)</w:t>
            </w:r>
            <w:r>
              <w:rPr/>
              <w:t>，（等次分值选择：</w:t>
            </w:r>
            <w:r>
              <w:rPr/>
              <w:t>0.0;</w:t>
            </w:r>
            <w:r>
              <w:rPr/>
              <w:t>3.0;</w:t>
            </w:r>
            <w:r>
              <w:rPr/>
              <w:t>6.0;</w:t>
            </w:r>
            <w:r>
              <w:rPr/>
              <w:t>9.0;</w:t>
            </w:r>
            <w:r>
              <w:rPr/>
              <w:t>12.0;</w:t>
            </w:r>
            <w:r>
              <w:rPr/>
              <w:t>）</w:t>
            </w:r>
          </w:p>
        </w:tc>
        <w:tc>
          <w:tcPr>
            <w:tcW w:type="dxa" w:w="5076"/>
          </w:tcPr>
          <w:p>
            <w:pPr>
              <w:jc w:val="left"/>
            </w:pPr>
            <w:r>
              <w:rPr/>
              <w:t>根据供应商针对本项目的实际情况提出的应急服务方案（包括但不限于：①停电、停水、停蒸汽、机器设备故障等的应急预案；②对采购人服务承诺和服务中出现的问题或差错的应对措施和改进方法）进行评分： （1）应急服务方案内容最为详细，服务安排及应对措施的可行性高，得12分； （2）应急服务方案内容较为详细，服务安排及应对措施的可行性较高，得9分； （3）应急服务方案内容的详细性一般，服务安排及应对措施基本可行，得6分； （4）应急服务方案内容不够详细，服务安排及应对措施的可行性较差，得3分； （5）无提供方案的不得分。</w:t>
            </w:r>
          </w:p>
        </w:tc>
      </w:tr>
      <w:tr>
        <w:tc>
          <w:tcPr>
            <w:tcW w:type="dxa" w:w="922"/>
            <w:gridSpan w:val="2"/>
            <w:vMerge/>
          </w:tcPr>
          <w:p/>
        </w:tc>
        <w:tc>
          <w:tcPr>
            <w:tcW w:type="dxa" w:w="2307"/>
          </w:tcPr>
          <w:p>
            <w:pPr>
              <w:jc w:val="left"/>
            </w:pPr>
            <w:r>
              <w:rPr/>
              <w:t>快捷响应服务方案 (7.0分)</w:t>
            </w:r>
            <w:r>
              <w:rPr/>
              <w:t>，（等次分值选择：</w:t>
            </w:r>
            <w:r>
              <w:rPr/>
              <w:t>0.0;</w:t>
            </w:r>
            <w:r>
              <w:rPr/>
              <w:t>2.0;</w:t>
            </w:r>
            <w:r>
              <w:rPr/>
              <w:t>4.0;</w:t>
            </w:r>
            <w:r>
              <w:rPr/>
              <w:t>7.0;</w:t>
            </w:r>
            <w:r>
              <w:rPr/>
              <w:t>）</w:t>
            </w:r>
          </w:p>
        </w:tc>
        <w:tc>
          <w:tcPr>
            <w:tcW w:type="dxa" w:w="5076"/>
          </w:tcPr>
          <w:p>
            <w:pPr>
              <w:jc w:val="left"/>
            </w:pPr>
            <w:r>
              <w:rPr/>
              <w:t>根据供应商提供的快捷响应服务方案进行评分： （1）方案合理可行，完整性好且响应迅速，得7分； （2）方案的合理性、完整性一般，响应速度一般，得4分； （3）方案的合理性、完整性较差，响应速度慢，得2分； （4）无提供方案的不得分。</w:t>
            </w:r>
          </w:p>
        </w:tc>
      </w:tr>
      <w:tr>
        <w:tc>
          <w:tcPr>
            <w:tcW w:type="dxa" w:w="922"/>
            <w:gridSpan w:val="2"/>
            <w:vMerge/>
          </w:tcPr>
          <w:p/>
        </w:tc>
        <w:tc>
          <w:tcPr>
            <w:tcW w:type="dxa" w:w="2307"/>
          </w:tcPr>
          <w:p>
            <w:pPr>
              <w:jc w:val="left"/>
            </w:pPr>
            <w:r>
              <w:rPr/>
              <w:t>洗涤材料用品情况 (7.0分)</w:t>
            </w:r>
            <w:r>
              <w:rPr/>
              <w:t>，（等次分值选择：</w:t>
            </w:r>
            <w:r>
              <w:rPr/>
              <w:t>0.0;</w:t>
            </w:r>
            <w:r>
              <w:rPr/>
              <w:t>2.0;</w:t>
            </w:r>
            <w:r>
              <w:rPr/>
              <w:t>4.0;</w:t>
            </w:r>
            <w:r>
              <w:rPr/>
              <w:t>7.0;</w:t>
            </w:r>
            <w:r>
              <w:rPr/>
              <w:t>）</w:t>
            </w:r>
          </w:p>
        </w:tc>
        <w:tc>
          <w:tcPr>
            <w:tcW w:type="dxa" w:w="5076"/>
          </w:tcPr>
          <w:p>
            <w:pPr>
              <w:jc w:val="left"/>
            </w:pPr>
            <w:r>
              <w:rPr/>
              <w:t>根据供应商拟在本项目使用的洗涤材料用品情况进行评分： （1）供应商洗涤材料用品配备合理，得7分； （2）供应商洗涤材料用品配备较合理，得4分； （3）供应商洗涤材料用品配备一般，得2分； （4）无提供相关证明材料的不得分。 【备注：响应文件中须提供主要洗涤材料用品的检测报告（由第三方检测机构出具）复印件，不提供不得分。】</w:t>
            </w:r>
          </w:p>
        </w:tc>
      </w:tr>
      <w:tr>
        <w:tc>
          <w:tcPr>
            <w:tcW w:type="dxa" w:w="922"/>
            <w:gridSpan w:val="2"/>
            <w:vMerge w:val="restart"/>
          </w:tcPr>
          <w:p>
            <w:pPr>
              <w:jc w:val="center"/>
            </w:pPr>
            <w:r>
              <w:rPr/>
              <w:t>商务部分</w:t>
            </w:r>
          </w:p>
        </w:tc>
        <w:tc>
          <w:tcPr>
            <w:tcW w:type="dxa" w:w="2307"/>
          </w:tcPr>
          <w:p>
            <w:pPr>
              <w:jc w:val="left"/>
            </w:pPr>
            <w:r>
              <w:rPr/>
              <w:t>同类项目业绩 (11.0分)</w:t>
            </w:r>
            <w:r>
              <w:rPr/>
              <w:t>，（等次分值选择：</w:t>
            </w:r>
            <w:r>
              <w:rPr/>
              <w:t>0.0;</w:t>
            </w:r>
            <w:r>
              <w:rPr/>
              <w:t>5.5;</w:t>
            </w:r>
            <w:r>
              <w:rPr/>
              <w:t>11.0;</w:t>
            </w:r>
            <w:r>
              <w:rPr/>
              <w:t>）</w:t>
            </w:r>
          </w:p>
        </w:tc>
        <w:tc>
          <w:tcPr>
            <w:tcW w:type="dxa" w:w="5076"/>
          </w:tcPr>
          <w:p>
            <w:pPr>
              <w:jc w:val="left"/>
            </w:pPr>
            <w:r>
              <w:rPr/>
              <w:t>供应商自2019年至今（以合同签订时间为准）承接的医疗机构织物/被服洗涤服务类项目业绩：每提供1个得5.5分，本项最高得11分。 【备注：与同一采购单位签订的多份合同/协议，只算一个业绩得分；响应文件中须提供合同/协议关键页复印件，不提供不得分。】</w:t>
            </w:r>
          </w:p>
        </w:tc>
      </w:tr>
      <w:tr>
        <w:tc>
          <w:tcPr>
            <w:tcW w:type="dxa" w:w="922"/>
            <w:gridSpan w:val="2"/>
            <w:vMerge/>
          </w:tcPr>
          <w:p/>
        </w:tc>
        <w:tc>
          <w:tcPr>
            <w:tcW w:type="dxa" w:w="2307"/>
          </w:tcPr>
          <w:p>
            <w:pPr>
              <w:jc w:val="left"/>
            </w:pPr>
            <w:r>
              <w:rPr/>
              <w:t>体系认证 (9.0分)</w:t>
            </w:r>
            <w:r>
              <w:rPr/>
              <w:t>，（等次分值选择：</w:t>
            </w:r>
            <w:r>
              <w:rPr/>
              <w:t>0.0;</w:t>
            </w:r>
            <w:r>
              <w:rPr/>
              <w:t>3.0;</w:t>
            </w:r>
            <w:r>
              <w:rPr/>
              <w:t>6.0;</w:t>
            </w:r>
            <w:r>
              <w:rPr/>
              <w:t>9.0;</w:t>
            </w:r>
            <w:r>
              <w:rPr/>
              <w:t>）</w:t>
            </w:r>
          </w:p>
        </w:tc>
        <w:tc>
          <w:tcPr>
            <w:tcW w:type="dxa" w:w="5076"/>
          </w:tcPr>
          <w:p>
            <w:pPr>
              <w:jc w:val="left"/>
            </w:pPr>
            <w:r>
              <w:rPr/>
              <w:t>供应商具有有效的质量管理体系认证证书、环境管理体系认证证书和职业健康安全管理体系认证证书且认证范围包含医用织物洗涤服务（或等同于该描述含义的字眼）：每提供1个得3分，本项最高得9分。 【备注：响应文件中须提供认证证书复印件，不提供不得分。】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t xml:space="preserve"> </w:t>
      </w:r>
    </w:p>
    <w:p>
      <w:pPr>
        <w:ind w:firstLine="281"/>
      </w:pPr>
      <w:r>
        <w:rPr/>
        <w:t xml:space="preserve"> </w:t>
      </w:r>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ind w:firstLine="281"/>
      </w:pPr>
      <w:r>
        <w:rPr/>
        <w:t xml:space="preserve"> </w:t>
      </w:r>
    </w:p>
    <w:p>
      <w:pPr>
        <w:jc w:val="center"/>
      </w:pPr>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（招标编号：</w:t>
      </w:r>
      <w:r>
        <w:rPr>
          <w:sz w:val="21"/>
          <w:u w:val="single"/>
        </w:rPr>
        <w:t xml:space="preserve">         </w:t>
      </w:r>
      <w:r>
        <w:rPr>
          <w:sz w:val="21"/>
        </w:rPr>
        <w:t>）</w:t>
      </w:r>
      <w:r>
        <w:rPr>
          <w:sz w:val="21"/>
        </w:rPr>
        <w:t>的采购结果，按照《中华人民共和国政府采购法》、</w:t>
      </w:r>
      <w:r>
        <w:rPr>
          <w:sz w:val="21"/>
        </w:rPr>
        <w:t>《</w:t>
      </w:r>
      <w:r>
        <w:rPr>
          <w:sz w:val="21"/>
        </w:rPr>
        <w:t>中华人民共和国</w:t>
      </w:r>
      <w:r>
        <w:rPr>
          <w:sz w:val="21"/>
        </w:rPr>
        <w:t>民法典》</w:t>
      </w:r>
      <w:r>
        <w:rPr>
          <w:sz w:val="21"/>
        </w:rPr>
        <w:t>的规定，</w:t>
      </w:r>
      <w:r>
        <w:rPr>
          <w:sz w:val="21"/>
        </w:rPr>
        <w:t>经双方协商，</w:t>
      </w:r>
      <w:r>
        <w:rPr>
          <w:sz w:val="21"/>
        </w:rPr>
        <w:t>本着平等互利和诚实信用的原则，</w:t>
      </w:r>
      <w:r>
        <w:rPr>
          <w:sz w:val="21"/>
        </w:rPr>
        <w:t>一致同意签订本合同如下</w:t>
      </w:r>
      <w:r>
        <w:rPr>
          <w:sz w:val="21"/>
        </w:rPr>
        <w:t>。</w:t>
      </w:r>
    </w:p>
    <w:p>
      <w:pPr>
        <w:jc w:val="both"/>
      </w:pPr>
      <w:r>
        <w:rPr>
          <w:b/>
          <w:sz w:val="21"/>
        </w:rPr>
        <w:t>一、合同金额</w:t>
      </w:r>
    </w:p>
    <w:p>
      <w:pPr>
        <w:jc w:val="both"/>
      </w:pPr>
      <w:r>
        <w:rPr>
          <w:sz w:val="21"/>
        </w:rPr>
        <w:t>1、合同总金额为（大写）：人民币</w:t>
      </w:r>
      <w:r>
        <w:rPr>
          <w:sz w:val="21"/>
          <w:u w:val="single"/>
        </w:rPr>
        <w:t xml:space="preserve">                </w:t>
      </w:r>
      <w:r>
        <w:rPr>
          <w:sz w:val="21"/>
        </w:rPr>
        <w:t>（</w:t>
      </w:r>
      <w:r>
        <w:rPr>
          <w:sz w:val="21"/>
        </w:rPr>
        <w:t>¥</w:t>
      </w:r>
      <w:r>
        <w:rPr>
          <w:sz w:val="21"/>
          <w:u w:val="single"/>
        </w:rPr>
        <w:t xml:space="preserve">            </w:t>
      </w:r>
      <w:r>
        <w:rPr>
          <w:sz w:val="21"/>
        </w:rPr>
        <w:t>）。</w:t>
      </w:r>
    </w:p>
    <w:p>
      <w:pPr>
        <w:jc w:val="both"/>
      </w:pPr>
      <w:r>
        <w:rPr/>
        <w:t>2、每月服务费（未扣罚前）为（大写）</w:t>
      </w:r>
      <w:r>
        <w:rPr>
          <w:sz w:val="21"/>
        </w:rPr>
        <w:t>：人民币</w:t>
      </w:r>
      <w:r>
        <w:rPr>
          <w:sz w:val="21"/>
          <w:u w:val="single"/>
        </w:rPr>
        <w:t xml:space="preserve">                </w:t>
      </w:r>
      <w:r>
        <w:rPr>
          <w:sz w:val="21"/>
        </w:rPr>
        <w:t>（</w:t>
      </w:r>
      <w:r>
        <w:rPr>
          <w:sz w:val="21"/>
        </w:rPr>
        <w:t>¥</w:t>
      </w:r>
      <w:r>
        <w:rPr>
          <w:sz w:val="21"/>
          <w:u w:val="single"/>
        </w:rPr>
        <w:t xml:space="preserve">            </w:t>
      </w:r>
      <w:r>
        <w:rPr>
          <w:sz w:val="21"/>
        </w:rPr>
        <w:t>）。</w:t>
      </w:r>
    </w:p>
    <w:p>
      <w:pPr>
        <w:jc w:val="both"/>
      </w:pPr>
      <w:r>
        <w:rPr>
          <w:b/>
          <w:sz w:val="21"/>
        </w:rPr>
        <w:t>二、服务要求</w:t>
      </w:r>
    </w:p>
    <w:p>
      <w:r>
        <w:rPr>
          <w:sz w:val="21"/>
        </w:rPr>
        <w:t>1、本合同项下的服务指</w:t>
      </w:r>
      <w:r>
        <w:rPr>
          <w:sz w:val="21"/>
          <w:u w:val="single"/>
        </w:rPr>
        <w:t xml:space="preserve">                            </w:t>
      </w:r>
      <w:r>
        <w:rPr>
          <w:sz w:val="21"/>
        </w:rPr>
        <w:t>。</w:t>
      </w:r>
    </w:p>
    <w:p>
      <w:r>
        <w:rPr>
          <w:sz w:val="21"/>
        </w:rPr>
        <w:t>2、数量：</w:t>
      </w:r>
    </w:p>
    <w:p>
      <w:r>
        <w:rPr>
          <w:sz w:val="21"/>
        </w:rPr>
        <w:t>3、</w:t>
      </w:r>
      <w:r>
        <w:rPr>
          <w:sz w:val="21"/>
        </w:rPr>
        <w:t>……</w:t>
      </w:r>
    </w:p>
    <w:p>
      <w:r>
        <w:rPr>
          <w:sz w:val="21"/>
        </w:rPr>
        <w:t>……</w:t>
      </w:r>
    </w:p>
    <w:p>
      <w:pPr>
        <w:jc w:val="both"/>
      </w:pPr>
      <w:r>
        <w:rPr>
          <w:b/>
          <w:sz w:val="21"/>
        </w:rPr>
        <w:t>三、履行期限、地点和方式</w:t>
      </w:r>
    </w:p>
    <w:p>
      <w:pPr>
        <w:ind w:firstLine="435"/>
      </w:pPr>
      <w:r>
        <w:rPr>
          <w:sz w:val="21"/>
        </w:rPr>
        <w:t>……</w:t>
      </w:r>
    </w:p>
    <w:p>
      <w:pPr>
        <w:jc w:val="both"/>
      </w:pPr>
      <w:r>
        <w:rPr>
          <w:b/>
          <w:sz w:val="21"/>
        </w:rPr>
        <w:t>四、质量要求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pPr>
        <w:ind w:firstLine="435"/>
      </w:pPr>
      <w:r>
        <w:rPr>
          <w:sz w:val="21"/>
        </w:rPr>
        <w:t>……</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（一）甲方的权利和义务</w:t>
      </w:r>
    </w:p>
    <w:p>
      <w:pPr>
        <w:ind w:firstLine="420"/>
      </w:pPr>
      <w:r>
        <w:rPr>
          <w:sz w:val="21"/>
        </w:rPr>
        <w:t>……</w:t>
      </w:r>
    </w:p>
    <w:p>
      <w:r>
        <w:rPr>
          <w:sz w:val="21"/>
        </w:rPr>
        <w:t>（二）乙方的权利和义务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份，政府采购监管部门</w:t>
      </w:r>
      <w:r>
        <w:rPr>
          <w:sz w:val="21"/>
          <w:u w:val="single"/>
        </w:rPr>
        <w:t>1</w:t>
      </w:r>
      <w:r>
        <w:rPr>
          <w:sz w:val="21"/>
        </w:rPr>
        <w:t>份，采购代理机构</w:t>
      </w:r>
      <w:r>
        <w:rPr>
          <w:sz w:val="21"/>
          <w:u w:val="single"/>
        </w:rPr>
        <w:t>1</w:t>
      </w:r>
      <w:r>
        <w:rPr>
          <w:sz w:val="21"/>
        </w:rPr>
        <w:t>份。</w:t>
      </w:r>
    </w:p>
    <w:p>
      <w:pPr>
        <w:jc w:val="both"/>
      </w:pPr>
    </w:p>
    <w:p>
      <w:r>
        <w:rPr/>
        <w:t xml:space="preserve"> </w:t>
      </w:r>
    </w:p>
    <w:p/>
    <w:p>
      <w:r>
        <w:rPr>
          <w:b/>
          <w:color w:val="000000"/>
          <w:sz w:val="21"/>
        </w:rPr>
        <w:t>甲方（盖章）：</w:t>
      </w:r>
      <w:r>
        <w:rPr>
          <w:b/>
          <w:color w:val="000000"/>
          <w:sz w:val="21"/>
        </w:rPr>
        <w:t xml:space="preserve">                          </w:t>
      </w:r>
      <w:r>
        <w:rPr>
          <w:b/>
          <w:color w:val="000000"/>
          <w:sz w:val="21"/>
        </w:rPr>
        <w:t>乙方（盖章）：</w:t>
      </w:r>
    </w:p>
    <w:p>
      <w:r>
        <w:rPr>
          <w:b/>
          <w:color w:val="000000"/>
          <w:sz w:val="21"/>
        </w:rPr>
        <w:t>代表：</w:t>
      </w:r>
      <w:r>
        <w:rPr>
          <w:b/>
          <w:color w:val="000000"/>
          <w:sz w:val="21"/>
        </w:rPr>
        <w:t xml:space="preserve">                                 </w:t>
      </w:r>
      <w:r>
        <w:rPr>
          <w:b/>
          <w:color w:val="000000"/>
          <w:sz w:val="21"/>
        </w:rPr>
        <w:t>代表：</w:t>
      </w:r>
    </w:p>
    <w:p>
      <w:r>
        <w:rPr>
          <w:color w:val="000000"/>
          <w:sz w:val="21"/>
        </w:rPr>
        <w:t>签订地点：</w:t>
      </w:r>
    </w:p>
    <w:p>
      <w:r>
        <w:rPr>
          <w:color w:val="000000"/>
          <w:sz w:val="21"/>
        </w:rPr>
        <w:t>签订日期：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color w:val="000000"/>
          <w:sz w:val="21"/>
        </w:rPr>
        <w:t>签订日期：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ind w:firstLine="4725"/>
      </w:pPr>
      <w:r>
        <w:rPr>
          <w:color w:val="000000"/>
          <w:sz w:val="21"/>
        </w:rPr>
        <w:t>开户名称：</w:t>
      </w:r>
    </w:p>
    <w:p>
      <w:pPr>
        <w:ind w:firstLine="4725"/>
      </w:pPr>
      <w:r>
        <w:rPr>
          <w:color w:val="000000"/>
          <w:sz w:val="21"/>
        </w:rPr>
        <w:t>银行账号：</w:t>
      </w:r>
    </w:p>
    <w:p>
      <w:r>
        <w:rPr>
          <w:color w:val="000000"/>
          <w:sz w:val="21"/>
        </w:rPr>
        <w:t xml:space="preserve">                                      开</w:t>
      </w:r>
      <w:r>
        <w:rPr>
          <w:color w:val="000000"/>
          <w:sz w:val="21"/>
        </w:rPr>
        <w:t>户</w:t>
      </w:r>
      <w:r>
        <w:rPr>
          <w:color w:val="000000"/>
          <w:sz w:val="21"/>
        </w:rPr>
        <w:t>行：</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445321-2022-01556</w:t>
      </w:r>
    </w:p>
    <w:p>
      <w:pPr>
        <w:jc w:val="center"/>
      </w:pPr>
      <w:r>
        <w:rPr>
          <w:b/>
          <w:sz w:val="24"/>
        </w:rPr>
        <w:t>采购项目编号：</w:t>
      </w:r>
      <w:r>
        <w:rPr>
          <w:b/>
          <w:sz w:val="24"/>
        </w:rPr>
        <w:t>YFZC22FC0112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新兴县中医院医用织物洗涤消毒服务社会化管理项目</w:t>
      </w:r>
      <w:r>
        <w:rPr/>
        <w:t>项目的竞争性磋商[采购项目编号为：</w:t>
      </w:r>
      <w:r>
        <w:rPr>
          <w:u w:val="single"/>
        </w:rPr>
        <w:t>YFZC22FC0112</w:t>
      </w:r>
      <w:r>
        <w:rPr/>
        <w:t>]，我方愿参与响应。</w:t>
      </w:r>
    </w:p>
    <w:p>
      <w:pPr>
        <w:ind w:firstLine="480"/>
      </w:pPr>
      <w:r>
        <w:rPr/>
        <w:t>我方确认收到贵方提供的</w:t>
      </w:r>
      <w:r>
        <w:rPr>
          <w:u w:val="single"/>
        </w:rPr>
        <w:t>新兴县中医院医用织物洗涤消毒服务社会化管理项目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新兴县中医院医用织物洗涤消毒服务社会化管理项目</w:t>
      </w:r>
      <w:r>
        <w:rPr/>
        <w:t>项目采购[采购项目编号为</w:t>
      </w:r>
      <w:r>
        <w:rPr/>
        <w:t>YFZC22FC0112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新兴县中医院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新兴县中医院医用织物洗涤消毒服务社会化管理项目</w:t>
      </w:r>
      <w:r>
        <w:rPr/>
        <w:t>（采购项目编号：</w:t>
      </w:r>
      <w:r>
        <w:rPr/>
        <w:t>YFZC22FC0112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新兴县中医院医用织物洗涤消毒服务社会化管理项目</w:t>
      </w:r>
      <w:r>
        <w:rPr/>
        <w:t>项目（采购项目编号：</w:t>
      </w:r>
      <w:r>
        <w:rPr/>
        <w:t>YFZC22FC0112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